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56DA" w14:textId="77777777" w:rsidR="001E4F48" w:rsidRDefault="001E4F48" w:rsidP="00F135A1">
      <w:pPr>
        <w:pStyle w:val="Title"/>
        <w:rPr>
          <w:sz w:val="52"/>
          <w:szCs w:val="52"/>
        </w:rPr>
      </w:pPr>
    </w:p>
    <w:p w14:paraId="1899C3A4" w14:textId="77777777" w:rsidR="001E4F48" w:rsidRDefault="001E4F48" w:rsidP="00F135A1">
      <w:pPr>
        <w:pStyle w:val="Title"/>
        <w:rPr>
          <w:sz w:val="52"/>
          <w:szCs w:val="52"/>
        </w:rPr>
      </w:pPr>
    </w:p>
    <w:p w14:paraId="560AEBC5" w14:textId="77777777" w:rsidR="001E4F48" w:rsidRDefault="001E4F48" w:rsidP="00F135A1">
      <w:pPr>
        <w:pStyle w:val="Title"/>
        <w:rPr>
          <w:sz w:val="52"/>
          <w:szCs w:val="52"/>
        </w:rPr>
      </w:pPr>
    </w:p>
    <w:p w14:paraId="38335BDE" w14:textId="77777777" w:rsidR="001E4F48" w:rsidRDefault="001E4F48" w:rsidP="00F135A1">
      <w:pPr>
        <w:pStyle w:val="Title"/>
        <w:rPr>
          <w:sz w:val="52"/>
          <w:szCs w:val="52"/>
        </w:rPr>
      </w:pPr>
    </w:p>
    <w:p w14:paraId="699275FB" w14:textId="7C03C898" w:rsidR="00F135A1" w:rsidRPr="00F135A1" w:rsidRDefault="00F135A1" w:rsidP="00F135A1">
      <w:pPr>
        <w:pStyle w:val="Title"/>
        <w:rPr>
          <w:sz w:val="52"/>
          <w:szCs w:val="52"/>
        </w:rPr>
      </w:pPr>
      <w:bookmarkStart w:id="0" w:name="_Toc75869834"/>
      <w:bookmarkStart w:id="1" w:name="_Toc75869949"/>
      <w:bookmarkStart w:id="2" w:name="_Toc75870167"/>
      <w:r w:rsidRPr="00F135A1">
        <w:rPr>
          <w:sz w:val="52"/>
          <w:szCs w:val="52"/>
        </w:rPr>
        <w:t>National Institute for Health and Care Excellence</w:t>
      </w:r>
      <w:bookmarkEnd w:id="0"/>
      <w:bookmarkEnd w:id="1"/>
      <w:bookmarkEnd w:id="2"/>
    </w:p>
    <w:p w14:paraId="0FC15DB5" w14:textId="083499E9" w:rsidR="00F135A1" w:rsidRDefault="00F135A1" w:rsidP="00B161FE">
      <w:pPr>
        <w:pStyle w:val="Heading1"/>
        <w:numPr>
          <w:ilvl w:val="0"/>
          <w:numId w:val="0"/>
        </w:numPr>
        <w:ind w:left="720"/>
      </w:pPr>
    </w:p>
    <w:p w14:paraId="6501391D" w14:textId="7AF8F396" w:rsidR="00F135A1" w:rsidRDefault="00F135A1" w:rsidP="00F135A1">
      <w:pPr>
        <w:pStyle w:val="Paragraphnonumbers"/>
      </w:pPr>
    </w:p>
    <w:p w14:paraId="3BA5AA78" w14:textId="2356CC70" w:rsidR="00F135A1" w:rsidRPr="00F135A1" w:rsidRDefault="00F135A1" w:rsidP="00F135A1">
      <w:pPr>
        <w:pStyle w:val="Title"/>
        <w:rPr>
          <w:sz w:val="36"/>
          <w:szCs w:val="36"/>
        </w:rPr>
      </w:pPr>
      <w:bookmarkStart w:id="3" w:name="_Toc75869835"/>
      <w:bookmarkStart w:id="4" w:name="_Toc75869950"/>
      <w:bookmarkStart w:id="5" w:name="_Toc75870168"/>
      <w:r w:rsidRPr="00F135A1">
        <w:rPr>
          <w:sz w:val="36"/>
          <w:szCs w:val="36"/>
        </w:rPr>
        <w:t>NICE Electronic and Print Content Framework Agreement (NICE FAAHEE/2125)</w:t>
      </w:r>
      <w:bookmarkEnd w:id="3"/>
      <w:bookmarkEnd w:id="4"/>
      <w:bookmarkEnd w:id="5"/>
    </w:p>
    <w:p w14:paraId="53EDAA72" w14:textId="5FB0B55F" w:rsidR="00F135A1" w:rsidRDefault="00F135A1" w:rsidP="00B161FE">
      <w:pPr>
        <w:pStyle w:val="Heading1"/>
        <w:numPr>
          <w:ilvl w:val="0"/>
          <w:numId w:val="0"/>
        </w:numPr>
        <w:ind w:left="720"/>
      </w:pPr>
    </w:p>
    <w:p w14:paraId="192AF52D" w14:textId="2798AC45" w:rsidR="00F135A1" w:rsidRPr="00F135A1" w:rsidRDefault="00F135A1" w:rsidP="00F135A1">
      <w:pPr>
        <w:pStyle w:val="Title"/>
      </w:pPr>
      <w:bookmarkStart w:id="6" w:name="_Toc75869836"/>
      <w:bookmarkStart w:id="7" w:name="_Toc75869951"/>
      <w:r>
        <w:t>Agent Agreement</w:t>
      </w:r>
      <w:bookmarkEnd w:id="6"/>
      <w:bookmarkEnd w:id="7"/>
    </w:p>
    <w:p w14:paraId="445EC01C" w14:textId="01FCBCE1" w:rsidR="00F135A1" w:rsidRDefault="00F135A1" w:rsidP="00B161FE">
      <w:pPr>
        <w:pStyle w:val="Heading1"/>
        <w:numPr>
          <w:ilvl w:val="0"/>
          <w:numId w:val="0"/>
        </w:numPr>
        <w:ind w:left="720"/>
      </w:pPr>
    </w:p>
    <w:p w14:paraId="57E6BAE2" w14:textId="61CBFA85" w:rsidR="00F135A1" w:rsidRDefault="00F135A1">
      <w:r>
        <w:br w:type="page"/>
      </w:r>
    </w:p>
    <w:p w14:paraId="01AAD378" w14:textId="6C8488D3" w:rsidR="00C6336F" w:rsidRPr="00537889" w:rsidRDefault="00537889" w:rsidP="00B161FE">
      <w:pPr>
        <w:pStyle w:val="Heading1"/>
        <w:numPr>
          <w:ilvl w:val="0"/>
          <w:numId w:val="0"/>
        </w:numPr>
        <w:ind w:left="720" w:hanging="360"/>
        <w:rPr>
          <w:bCs/>
          <w:noProof/>
        </w:rPr>
      </w:pPr>
      <w:r>
        <w:rPr>
          <w:bCs/>
        </w:rPr>
        <w:lastRenderedPageBreak/>
        <w:t>Contents</w:t>
      </w:r>
      <w:r w:rsidR="00C6336F">
        <w:rPr>
          <w:bCs/>
        </w:rPr>
        <w:fldChar w:fldCharType="begin"/>
      </w:r>
      <w:r w:rsidR="00C6336F" w:rsidRPr="00537889">
        <w:rPr>
          <w:bCs/>
        </w:rPr>
        <w:instrText xml:space="preserve"> TOC \o "2-3" \h \z \t "Heading 1,1,Style1,1,Style2,1" </w:instrText>
      </w:r>
      <w:r w:rsidR="00C6336F">
        <w:rPr>
          <w:bCs/>
        </w:rPr>
        <w:fldChar w:fldCharType="separate"/>
      </w:r>
    </w:p>
    <w:p w14:paraId="117F4118" w14:textId="6750D84D" w:rsidR="00C6336F" w:rsidRDefault="00C74501">
      <w:pPr>
        <w:pStyle w:val="TOC1"/>
        <w:tabs>
          <w:tab w:val="left" w:pos="480"/>
          <w:tab w:val="right" w:leader="dot" w:pos="9016"/>
        </w:tabs>
        <w:rPr>
          <w:rFonts w:asciiTheme="minorHAnsi" w:eastAsiaTheme="minorEastAsia" w:hAnsiTheme="minorHAnsi" w:cstheme="minorBidi"/>
          <w:b w:val="0"/>
          <w:bCs w:val="0"/>
          <w:caps w:val="0"/>
          <w:noProof/>
          <w:sz w:val="22"/>
          <w:szCs w:val="22"/>
        </w:rPr>
      </w:pPr>
      <w:hyperlink w:anchor="_Toc75870251" w:history="1">
        <w:r w:rsidR="00C6336F" w:rsidRPr="005E113F">
          <w:rPr>
            <w:rStyle w:val="Hyperlink"/>
            <w:noProof/>
          </w:rPr>
          <w:t>1.</w:t>
        </w:r>
        <w:r w:rsidR="00C6336F">
          <w:rPr>
            <w:rFonts w:asciiTheme="minorHAnsi" w:eastAsiaTheme="minorEastAsia" w:hAnsiTheme="minorHAnsi" w:cstheme="minorBidi"/>
            <w:b w:val="0"/>
            <w:bCs w:val="0"/>
            <w:caps w:val="0"/>
            <w:noProof/>
            <w:sz w:val="22"/>
            <w:szCs w:val="22"/>
          </w:rPr>
          <w:tab/>
        </w:r>
        <w:r w:rsidR="00537889" w:rsidRPr="00537889">
          <w:rPr>
            <w:rStyle w:val="Hyperlink"/>
            <w:rFonts w:ascii="Arial" w:hAnsi="Arial" w:cs="Arial"/>
            <w:caps w:val="0"/>
            <w:noProof/>
          </w:rPr>
          <w:t>Introduction</w:t>
        </w:r>
        <w:r w:rsidR="00C6336F">
          <w:rPr>
            <w:noProof/>
            <w:webHidden/>
          </w:rPr>
          <w:tab/>
        </w:r>
        <w:r w:rsidR="00C6336F">
          <w:rPr>
            <w:noProof/>
            <w:webHidden/>
          </w:rPr>
          <w:fldChar w:fldCharType="begin"/>
        </w:r>
        <w:r w:rsidR="00C6336F">
          <w:rPr>
            <w:noProof/>
            <w:webHidden/>
          </w:rPr>
          <w:instrText xml:space="preserve"> PAGEREF _Toc75870251 \h </w:instrText>
        </w:r>
        <w:r w:rsidR="00C6336F">
          <w:rPr>
            <w:noProof/>
            <w:webHidden/>
          </w:rPr>
        </w:r>
        <w:r w:rsidR="00C6336F">
          <w:rPr>
            <w:noProof/>
            <w:webHidden/>
          </w:rPr>
          <w:fldChar w:fldCharType="separate"/>
        </w:r>
        <w:r w:rsidR="00C6336F">
          <w:rPr>
            <w:noProof/>
            <w:webHidden/>
          </w:rPr>
          <w:t>3</w:t>
        </w:r>
        <w:r w:rsidR="00C6336F">
          <w:rPr>
            <w:noProof/>
            <w:webHidden/>
          </w:rPr>
          <w:fldChar w:fldCharType="end"/>
        </w:r>
      </w:hyperlink>
    </w:p>
    <w:p w14:paraId="59F0E66C" w14:textId="1BDA9F98" w:rsidR="00C6336F" w:rsidRPr="00537889" w:rsidRDefault="00C74501">
      <w:pPr>
        <w:pStyle w:val="TOC1"/>
        <w:tabs>
          <w:tab w:val="left" w:pos="480"/>
          <w:tab w:val="right" w:leader="dot" w:pos="9016"/>
        </w:tabs>
        <w:rPr>
          <w:rFonts w:ascii="Arial" w:eastAsiaTheme="minorEastAsia" w:hAnsi="Arial" w:cs="Arial"/>
          <w:b w:val="0"/>
          <w:bCs w:val="0"/>
          <w:caps w:val="0"/>
          <w:noProof/>
          <w:sz w:val="22"/>
          <w:szCs w:val="22"/>
        </w:rPr>
      </w:pPr>
      <w:hyperlink w:anchor="_Toc75870252" w:history="1">
        <w:r w:rsidR="00C6336F" w:rsidRPr="00537889">
          <w:rPr>
            <w:rStyle w:val="Hyperlink"/>
            <w:rFonts w:ascii="Arial" w:hAnsi="Arial" w:cs="Arial"/>
            <w:noProof/>
          </w:rPr>
          <w:t>2.</w:t>
        </w:r>
        <w:r w:rsidR="00C6336F" w:rsidRPr="00537889">
          <w:rPr>
            <w:rFonts w:ascii="Arial" w:eastAsiaTheme="minorEastAsia" w:hAnsi="Arial" w:cs="Arial"/>
            <w:b w:val="0"/>
            <w:bCs w:val="0"/>
            <w:caps w:val="0"/>
            <w:noProof/>
            <w:sz w:val="22"/>
            <w:szCs w:val="22"/>
          </w:rPr>
          <w:tab/>
        </w:r>
        <w:r w:rsidR="00537889" w:rsidRPr="00537889">
          <w:rPr>
            <w:rStyle w:val="Hyperlink"/>
            <w:rFonts w:ascii="Arial" w:hAnsi="Arial" w:cs="Arial"/>
            <w:caps w:val="0"/>
            <w:noProof/>
          </w:rPr>
          <w:t>Defined terms</w:t>
        </w:r>
        <w:r w:rsidR="00C6336F" w:rsidRPr="00537889">
          <w:rPr>
            <w:rFonts w:ascii="Arial" w:hAnsi="Arial" w:cs="Arial"/>
            <w:noProof/>
            <w:webHidden/>
          </w:rPr>
          <w:tab/>
        </w:r>
        <w:r w:rsidR="00C6336F" w:rsidRPr="00537889">
          <w:rPr>
            <w:rFonts w:ascii="Arial" w:hAnsi="Arial" w:cs="Arial"/>
            <w:noProof/>
            <w:webHidden/>
          </w:rPr>
          <w:fldChar w:fldCharType="begin"/>
        </w:r>
        <w:r w:rsidR="00C6336F" w:rsidRPr="00537889">
          <w:rPr>
            <w:rFonts w:ascii="Arial" w:hAnsi="Arial" w:cs="Arial"/>
            <w:noProof/>
            <w:webHidden/>
          </w:rPr>
          <w:instrText xml:space="preserve"> PAGEREF _Toc75870252 \h </w:instrText>
        </w:r>
        <w:r w:rsidR="00C6336F" w:rsidRPr="00537889">
          <w:rPr>
            <w:rFonts w:ascii="Arial" w:hAnsi="Arial" w:cs="Arial"/>
            <w:noProof/>
            <w:webHidden/>
          </w:rPr>
        </w:r>
        <w:r w:rsidR="00C6336F" w:rsidRPr="00537889">
          <w:rPr>
            <w:rFonts w:ascii="Arial" w:hAnsi="Arial" w:cs="Arial"/>
            <w:noProof/>
            <w:webHidden/>
          </w:rPr>
          <w:fldChar w:fldCharType="separate"/>
        </w:r>
        <w:r w:rsidR="00C6336F" w:rsidRPr="00537889">
          <w:rPr>
            <w:rFonts w:ascii="Arial" w:hAnsi="Arial" w:cs="Arial"/>
            <w:noProof/>
            <w:webHidden/>
          </w:rPr>
          <w:t>4</w:t>
        </w:r>
        <w:r w:rsidR="00C6336F" w:rsidRPr="00537889">
          <w:rPr>
            <w:rFonts w:ascii="Arial" w:hAnsi="Arial" w:cs="Arial"/>
            <w:noProof/>
            <w:webHidden/>
          </w:rPr>
          <w:fldChar w:fldCharType="end"/>
        </w:r>
      </w:hyperlink>
    </w:p>
    <w:p w14:paraId="09C4B0A1" w14:textId="4580D5B2" w:rsidR="00C6336F" w:rsidRPr="00537889" w:rsidRDefault="00C74501">
      <w:pPr>
        <w:pStyle w:val="TOC1"/>
        <w:tabs>
          <w:tab w:val="left" w:pos="480"/>
          <w:tab w:val="right" w:leader="dot" w:pos="9016"/>
        </w:tabs>
        <w:rPr>
          <w:rFonts w:ascii="Arial" w:eastAsiaTheme="minorEastAsia" w:hAnsi="Arial" w:cs="Arial"/>
          <w:b w:val="0"/>
          <w:bCs w:val="0"/>
          <w:caps w:val="0"/>
          <w:noProof/>
          <w:sz w:val="22"/>
          <w:szCs w:val="22"/>
        </w:rPr>
      </w:pPr>
      <w:hyperlink w:anchor="_Toc75870253" w:history="1">
        <w:r w:rsidR="00C6336F" w:rsidRPr="00537889">
          <w:rPr>
            <w:rStyle w:val="Hyperlink"/>
            <w:rFonts w:ascii="Arial" w:hAnsi="Arial" w:cs="Arial"/>
            <w:noProof/>
          </w:rPr>
          <w:t>3.</w:t>
        </w:r>
        <w:r w:rsidR="00C6336F" w:rsidRPr="00537889">
          <w:rPr>
            <w:rFonts w:ascii="Arial" w:eastAsiaTheme="minorEastAsia" w:hAnsi="Arial" w:cs="Arial"/>
            <w:b w:val="0"/>
            <w:bCs w:val="0"/>
            <w:caps w:val="0"/>
            <w:noProof/>
            <w:sz w:val="22"/>
            <w:szCs w:val="22"/>
          </w:rPr>
          <w:tab/>
        </w:r>
        <w:r w:rsidR="00537889" w:rsidRPr="00537889">
          <w:rPr>
            <w:rStyle w:val="Hyperlink"/>
            <w:rFonts w:ascii="Arial" w:hAnsi="Arial" w:cs="Arial"/>
            <w:caps w:val="0"/>
            <w:noProof/>
          </w:rPr>
          <w:t>Agent contact details</w:t>
        </w:r>
        <w:r w:rsidR="00C6336F" w:rsidRPr="00537889">
          <w:rPr>
            <w:rFonts w:ascii="Arial" w:hAnsi="Arial" w:cs="Arial"/>
            <w:noProof/>
            <w:webHidden/>
          </w:rPr>
          <w:tab/>
        </w:r>
        <w:r w:rsidR="00C6336F" w:rsidRPr="00537889">
          <w:rPr>
            <w:rFonts w:ascii="Arial" w:hAnsi="Arial" w:cs="Arial"/>
            <w:noProof/>
            <w:webHidden/>
          </w:rPr>
          <w:fldChar w:fldCharType="begin"/>
        </w:r>
        <w:r w:rsidR="00C6336F" w:rsidRPr="00537889">
          <w:rPr>
            <w:rFonts w:ascii="Arial" w:hAnsi="Arial" w:cs="Arial"/>
            <w:noProof/>
            <w:webHidden/>
          </w:rPr>
          <w:instrText xml:space="preserve"> PAGEREF _Toc75870253 \h </w:instrText>
        </w:r>
        <w:r w:rsidR="00C6336F" w:rsidRPr="00537889">
          <w:rPr>
            <w:rFonts w:ascii="Arial" w:hAnsi="Arial" w:cs="Arial"/>
            <w:noProof/>
            <w:webHidden/>
          </w:rPr>
        </w:r>
        <w:r w:rsidR="00C6336F" w:rsidRPr="00537889">
          <w:rPr>
            <w:rFonts w:ascii="Arial" w:hAnsi="Arial" w:cs="Arial"/>
            <w:noProof/>
            <w:webHidden/>
          </w:rPr>
          <w:fldChar w:fldCharType="separate"/>
        </w:r>
        <w:r w:rsidR="00C6336F" w:rsidRPr="00537889">
          <w:rPr>
            <w:rFonts w:ascii="Arial" w:hAnsi="Arial" w:cs="Arial"/>
            <w:noProof/>
            <w:webHidden/>
          </w:rPr>
          <w:t>5</w:t>
        </w:r>
        <w:r w:rsidR="00C6336F" w:rsidRPr="00537889">
          <w:rPr>
            <w:rFonts w:ascii="Arial" w:hAnsi="Arial" w:cs="Arial"/>
            <w:noProof/>
            <w:webHidden/>
          </w:rPr>
          <w:fldChar w:fldCharType="end"/>
        </w:r>
      </w:hyperlink>
    </w:p>
    <w:p w14:paraId="59B8B979" w14:textId="6FAE5E35" w:rsidR="00C6336F" w:rsidRPr="00537889" w:rsidRDefault="00C74501">
      <w:pPr>
        <w:pStyle w:val="TOC1"/>
        <w:tabs>
          <w:tab w:val="left" w:pos="480"/>
          <w:tab w:val="right" w:leader="dot" w:pos="9016"/>
        </w:tabs>
        <w:rPr>
          <w:rFonts w:ascii="Arial" w:eastAsiaTheme="minorEastAsia" w:hAnsi="Arial" w:cs="Arial"/>
          <w:b w:val="0"/>
          <w:bCs w:val="0"/>
          <w:caps w:val="0"/>
          <w:noProof/>
          <w:sz w:val="22"/>
          <w:szCs w:val="22"/>
        </w:rPr>
      </w:pPr>
      <w:hyperlink w:anchor="_Toc75870254" w:history="1">
        <w:r w:rsidR="00C6336F" w:rsidRPr="00537889">
          <w:rPr>
            <w:rStyle w:val="Hyperlink"/>
            <w:rFonts w:ascii="Arial" w:hAnsi="Arial" w:cs="Arial"/>
            <w:noProof/>
          </w:rPr>
          <w:t>4.</w:t>
        </w:r>
        <w:r w:rsidR="00C6336F" w:rsidRPr="00537889">
          <w:rPr>
            <w:rFonts w:ascii="Arial" w:eastAsiaTheme="minorEastAsia" w:hAnsi="Arial" w:cs="Arial"/>
            <w:b w:val="0"/>
            <w:bCs w:val="0"/>
            <w:caps w:val="0"/>
            <w:noProof/>
            <w:sz w:val="22"/>
            <w:szCs w:val="22"/>
          </w:rPr>
          <w:tab/>
        </w:r>
        <w:r w:rsidR="00537889" w:rsidRPr="00537889">
          <w:rPr>
            <w:rStyle w:val="Hyperlink"/>
            <w:rFonts w:ascii="Arial" w:hAnsi="Arial" w:cs="Arial"/>
            <w:caps w:val="0"/>
            <w:noProof/>
          </w:rPr>
          <w:t>Service availability</w:t>
        </w:r>
        <w:r w:rsidR="00C6336F" w:rsidRPr="00537889">
          <w:rPr>
            <w:rFonts w:ascii="Arial" w:hAnsi="Arial" w:cs="Arial"/>
            <w:noProof/>
            <w:webHidden/>
          </w:rPr>
          <w:tab/>
        </w:r>
        <w:r w:rsidR="00C6336F" w:rsidRPr="00537889">
          <w:rPr>
            <w:rFonts w:ascii="Arial" w:hAnsi="Arial" w:cs="Arial"/>
            <w:noProof/>
            <w:webHidden/>
          </w:rPr>
          <w:fldChar w:fldCharType="begin"/>
        </w:r>
        <w:r w:rsidR="00C6336F" w:rsidRPr="00537889">
          <w:rPr>
            <w:rFonts w:ascii="Arial" w:hAnsi="Arial" w:cs="Arial"/>
            <w:noProof/>
            <w:webHidden/>
          </w:rPr>
          <w:instrText xml:space="preserve"> PAGEREF _Toc75870254 \h </w:instrText>
        </w:r>
        <w:r w:rsidR="00C6336F" w:rsidRPr="00537889">
          <w:rPr>
            <w:rFonts w:ascii="Arial" w:hAnsi="Arial" w:cs="Arial"/>
            <w:noProof/>
            <w:webHidden/>
          </w:rPr>
        </w:r>
        <w:r w:rsidR="00C6336F" w:rsidRPr="00537889">
          <w:rPr>
            <w:rFonts w:ascii="Arial" w:hAnsi="Arial" w:cs="Arial"/>
            <w:noProof/>
            <w:webHidden/>
          </w:rPr>
          <w:fldChar w:fldCharType="separate"/>
        </w:r>
        <w:r w:rsidR="00C6336F" w:rsidRPr="00537889">
          <w:rPr>
            <w:rFonts w:ascii="Arial" w:hAnsi="Arial" w:cs="Arial"/>
            <w:noProof/>
            <w:webHidden/>
          </w:rPr>
          <w:t>6</w:t>
        </w:r>
        <w:r w:rsidR="00C6336F" w:rsidRPr="00537889">
          <w:rPr>
            <w:rFonts w:ascii="Arial" w:hAnsi="Arial" w:cs="Arial"/>
            <w:noProof/>
            <w:webHidden/>
          </w:rPr>
          <w:fldChar w:fldCharType="end"/>
        </w:r>
      </w:hyperlink>
    </w:p>
    <w:p w14:paraId="1EB03E83" w14:textId="1804D554" w:rsidR="00C6336F" w:rsidRPr="00537889" w:rsidRDefault="00C74501">
      <w:pPr>
        <w:pStyle w:val="TOC1"/>
        <w:tabs>
          <w:tab w:val="left" w:pos="480"/>
          <w:tab w:val="right" w:leader="dot" w:pos="9016"/>
        </w:tabs>
        <w:rPr>
          <w:rFonts w:ascii="Arial" w:eastAsiaTheme="minorEastAsia" w:hAnsi="Arial" w:cs="Arial"/>
          <w:b w:val="0"/>
          <w:bCs w:val="0"/>
          <w:caps w:val="0"/>
          <w:noProof/>
          <w:sz w:val="22"/>
          <w:szCs w:val="22"/>
        </w:rPr>
      </w:pPr>
      <w:hyperlink w:anchor="_Toc75870255" w:history="1">
        <w:r w:rsidR="00C6336F" w:rsidRPr="00537889">
          <w:rPr>
            <w:rStyle w:val="Hyperlink"/>
            <w:rFonts w:ascii="Arial" w:hAnsi="Arial" w:cs="Arial"/>
            <w:noProof/>
          </w:rPr>
          <w:t>5.</w:t>
        </w:r>
        <w:r w:rsidR="00C6336F" w:rsidRPr="00537889">
          <w:rPr>
            <w:rFonts w:ascii="Arial" w:eastAsiaTheme="minorEastAsia" w:hAnsi="Arial" w:cs="Arial"/>
            <w:b w:val="0"/>
            <w:bCs w:val="0"/>
            <w:caps w:val="0"/>
            <w:noProof/>
            <w:sz w:val="22"/>
            <w:szCs w:val="22"/>
          </w:rPr>
          <w:tab/>
        </w:r>
        <w:r w:rsidR="00537889" w:rsidRPr="00537889">
          <w:rPr>
            <w:rStyle w:val="Hyperlink"/>
            <w:rFonts w:ascii="Arial" w:hAnsi="Arial" w:cs="Arial"/>
            <w:caps w:val="0"/>
            <w:noProof/>
          </w:rPr>
          <w:t>User support</w:t>
        </w:r>
        <w:r w:rsidR="00C6336F" w:rsidRPr="00537889">
          <w:rPr>
            <w:rFonts w:ascii="Arial" w:hAnsi="Arial" w:cs="Arial"/>
            <w:noProof/>
            <w:webHidden/>
          </w:rPr>
          <w:tab/>
        </w:r>
        <w:r w:rsidR="00C6336F" w:rsidRPr="00537889">
          <w:rPr>
            <w:rFonts w:ascii="Arial" w:hAnsi="Arial" w:cs="Arial"/>
            <w:noProof/>
            <w:webHidden/>
          </w:rPr>
          <w:fldChar w:fldCharType="begin"/>
        </w:r>
        <w:r w:rsidR="00C6336F" w:rsidRPr="00537889">
          <w:rPr>
            <w:rFonts w:ascii="Arial" w:hAnsi="Arial" w:cs="Arial"/>
            <w:noProof/>
            <w:webHidden/>
          </w:rPr>
          <w:instrText xml:space="preserve"> PAGEREF _Toc75870255 \h </w:instrText>
        </w:r>
        <w:r w:rsidR="00C6336F" w:rsidRPr="00537889">
          <w:rPr>
            <w:rFonts w:ascii="Arial" w:hAnsi="Arial" w:cs="Arial"/>
            <w:noProof/>
            <w:webHidden/>
          </w:rPr>
        </w:r>
        <w:r w:rsidR="00C6336F" w:rsidRPr="00537889">
          <w:rPr>
            <w:rFonts w:ascii="Arial" w:hAnsi="Arial" w:cs="Arial"/>
            <w:noProof/>
            <w:webHidden/>
          </w:rPr>
          <w:fldChar w:fldCharType="separate"/>
        </w:r>
        <w:r w:rsidR="00C6336F" w:rsidRPr="00537889">
          <w:rPr>
            <w:rFonts w:ascii="Arial" w:hAnsi="Arial" w:cs="Arial"/>
            <w:noProof/>
            <w:webHidden/>
          </w:rPr>
          <w:t>6</w:t>
        </w:r>
        <w:r w:rsidR="00C6336F" w:rsidRPr="00537889">
          <w:rPr>
            <w:rFonts w:ascii="Arial" w:hAnsi="Arial" w:cs="Arial"/>
            <w:noProof/>
            <w:webHidden/>
          </w:rPr>
          <w:fldChar w:fldCharType="end"/>
        </w:r>
      </w:hyperlink>
    </w:p>
    <w:p w14:paraId="6A5ADC1D" w14:textId="0B2DD07E" w:rsidR="00C6336F" w:rsidRPr="00537889" w:rsidRDefault="00C74501">
      <w:pPr>
        <w:pStyle w:val="TOC1"/>
        <w:tabs>
          <w:tab w:val="left" w:pos="480"/>
          <w:tab w:val="right" w:leader="dot" w:pos="9016"/>
        </w:tabs>
        <w:rPr>
          <w:rFonts w:ascii="Arial" w:eastAsiaTheme="minorEastAsia" w:hAnsi="Arial" w:cs="Arial"/>
          <w:b w:val="0"/>
          <w:bCs w:val="0"/>
          <w:caps w:val="0"/>
          <w:noProof/>
          <w:sz w:val="22"/>
          <w:szCs w:val="22"/>
        </w:rPr>
      </w:pPr>
      <w:hyperlink w:anchor="_Toc75870256" w:history="1">
        <w:r w:rsidR="00C6336F" w:rsidRPr="00537889">
          <w:rPr>
            <w:rStyle w:val="Hyperlink"/>
            <w:rFonts w:ascii="Arial" w:hAnsi="Arial" w:cs="Arial"/>
            <w:noProof/>
          </w:rPr>
          <w:t>6.</w:t>
        </w:r>
        <w:r w:rsidR="00C6336F" w:rsidRPr="00537889">
          <w:rPr>
            <w:rFonts w:ascii="Arial" w:eastAsiaTheme="minorEastAsia" w:hAnsi="Arial" w:cs="Arial"/>
            <w:b w:val="0"/>
            <w:bCs w:val="0"/>
            <w:caps w:val="0"/>
            <w:noProof/>
            <w:sz w:val="22"/>
            <w:szCs w:val="22"/>
          </w:rPr>
          <w:tab/>
        </w:r>
        <w:r w:rsidR="00537889" w:rsidRPr="00537889">
          <w:rPr>
            <w:rStyle w:val="Hyperlink"/>
            <w:rFonts w:ascii="Arial" w:hAnsi="Arial" w:cs="Arial"/>
            <w:caps w:val="0"/>
            <w:noProof/>
          </w:rPr>
          <w:t>Service notifications</w:t>
        </w:r>
        <w:r w:rsidR="00C6336F" w:rsidRPr="00537889">
          <w:rPr>
            <w:rFonts w:ascii="Arial" w:hAnsi="Arial" w:cs="Arial"/>
            <w:noProof/>
            <w:webHidden/>
          </w:rPr>
          <w:tab/>
        </w:r>
        <w:r w:rsidR="00C6336F" w:rsidRPr="00537889">
          <w:rPr>
            <w:rFonts w:ascii="Arial" w:hAnsi="Arial" w:cs="Arial"/>
            <w:noProof/>
            <w:webHidden/>
          </w:rPr>
          <w:fldChar w:fldCharType="begin"/>
        </w:r>
        <w:r w:rsidR="00C6336F" w:rsidRPr="00537889">
          <w:rPr>
            <w:rFonts w:ascii="Arial" w:hAnsi="Arial" w:cs="Arial"/>
            <w:noProof/>
            <w:webHidden/>
          </w:rPr>
          <w:instrText xml:space="preserve"> PAGEREF _Toc75870256 \h </w:instrText>
        </w:r>
        <w:r w:rsidR="00C6336F" w:rsidRPr="00537889">
          <w:rPr>
            <w:rFonts w:ascii="Arial" w:hAnsi="Arial" w:cs="Arial"/>
            <w:noProof/>
            <w:webHidden/>
          </w:rPr>
        </w:r>
        <w:r w:rsidR="00C6336F" w:rsidRPr="00537889">
          <w:rPr>
            <w:rFonts w:ascii="Arial" w:hAnsi="Arial" w:cs="Arial"/>
            <w:noProof/>
            <w:webHidden/>
          </w:rPr>
          <w:fldChar w:fldCharType="separate"/>
        </w:r>
        <w:r w:rsidR="00C6336F" w:rsidRPr="00537889">
          <w:rPr>
            <w:rFonts w:ascii="Arial" w:hAnsi="Arial" w:cs="Arial"/>
            <w:noProof/>
            <w:webHidden/>
          </w:rPr>
          <w:t>6</w:t>
        </w:r>
        <w:r w:rsidR="00C6336F" w:rsidRPr="00537889">
          <w:rPr>
            <w:rFonts w:ascii="Arial" w:hAnsi="Arial" w:cs="Arial"/>
            <w:noProof/>
            <w:webHidden/>
          </w:rPr>
          <w:fldChar w:fldCharType="end"/>
        </w:r>
      </w:hyperlink>
    </w:p>
    <w:p w14:paraId="3ABB2B0A" w14:textId="718E9EE4" w:rsidR="00C6336F" w:rsidRPr="00537889" w:rsidRDefault="00C74501">
      <w:pPr>
        <w:pStyle w:val="TOC1"/>
        <w:tabs>
          <w:tab w:val="left" w:pos="480"/>
          <w:tab w:val="right" w:leader="dot" w:pos="9016"/>
        </w:tabs>
        <w:rPr>
          <w:rFonts w:ascii="Arial" w:eastAsiaTheme="minorEastAsia" w:hAnsi="Arial" w:cs="Arial"/>
          <w:b w:val="0"/>
          <w:bCs w:val="0"/>
          <w:caps w:val="0"/>
          <w:noProof/>
          <w:sz w:val="22"/>
          <w:szCs w:val="22"/>
        </w:rPr>
      </w:pPr>
      <w:hyperlink w:anchor="_Toc75870257" w:history="1">
        <w:r w:rsidR="00C6336F" w:rsidRPr="00537889">
          <w:rPr>
            <w:rStyle w:val="Hyperlink"/>
            <w:rFonts w:ascii="Arial" w:hAnsi="Arial" w:cs="Arial"/>
            <w:noProof/>
          </w:rPr>
          <w:t>7.</w:t>
        </w:r>
        <w:r w:rsidR="00C6336F" w:rsidRPr="00537889">
          <w:rPr>
            <w:rFonts w:ascii="Arial" w:eastAsiaTheme="minorEastAsia" w:hAnsi="Arial" w:cs="Arial"/>
            <w:b w:val="0"/>
            <w:bCs w:val="0"/>
            <w:caps w:val="0"/>
            <w:noProof/>
            <w:sz w:val="22"/>
            <w:szCs w:val="22"/>
          </w:rPr>
          <w:tab/>
        </w:r>
        <w:r w:rsidR="00537889" w:rsidRPr="00537889">
          <w:rPr>
            <w:rStyle w:val="Hyperlink"/>
            <w:rFonts w:ascii="Arial" w:hAnsi="Arial" w:cs="Arial"/>
            <w:caps w:val="0"/>
            <w:noProof/>
          </w:rPr>
          <w:t>Service reporting</w:t>
        </w:r>
        <w:r w:rsidR="00C6336F" w:rsidRPr="00537889">
          <w:rPr>
            <w:rFonts w:ascii="Arial" w:hAnsi="Arial" w:cs="Arial"/>
            <w:noProof/>
            <w:webHidden/>
          </w:rPr>
          <w:tab/>
        </w:r>
        <w:r w:rsidR="00C6336F" w:rsidRPr="00537889">
          <w:rPr>
            <w:rFonts w:ascii="Arial" w:hAnsi="Arial" w:cs="Arial"/>
            <w:noProof/>
            <w:webHidden/>
          </w:rPr>
          <w:fldChar w:fldCharType="begin"/>
        </w:r>
        <w:r w:rsidR="00C6336F" w:rsidRPr="00537889">
          <w:rPr>
            <w:rFonts w:ascii="Arial" w:hAnsi="Arial" w:cs="Arial"/>
            <w:noProof/>
            <w:webHidden/>
          </w:rPr>
          <w:instrText xml:space="preserve"> PAGEREF _Toc75870257 \h </w:instrText>
        </w:r>
        <w:r w:rsidR="00C6336F" w:rsidRPr="00537889">
          <w:rPr>
            <w:rFonts w:ascii="Arial" w:hAnsi="Arial" w:cs="Arial"/>
            <w:noProof/>
            <w:webHidden/>
          </w:rPr>
        </w:r>
        <w:r w:rsidR="00C6336F" w:rsidRPr="00537889">
          <w:rPr>
            <w:rFonts w:ascii="Arial" w:hAnsi="Arial" w:cs="Arial"/>
            <w:noProof/>
            <w:webHidden/>
          </w:rPr>
          <w:fldChar w:fldCharType="separate"/>
        </w:r>
        <w:r w:rsidR="00C6336F" w:rsidRPr="00537889">
          <w:rPr>
            <w:rFonts w:ascii="Arial" w:hAnsi="Arial" w:cs="Arial"/>
            <w:noProof/>
            <w:webHidden/>
          </w:rPr>
          <w:t>6</w:t>
        </w:r>
        <w:r w:rsidR="00C6336F" w:rsidRPr="00537889">
          <w:rPr>
            <w:rFonts w:ascii="Arial" w:hAnsi="Arial" w:cs="Arial"/>
            <w:noProof/>
            <w:webHidden/>
          </w:rPr>
          <w:fldChar w:fldCharType="end"/>
        </w:r>
      </w:hyperlink>
    </w:p>
    <w:p w14:paraId="396EE4B1" w14:textId="4E8C502C" w:rsidR="00C6336F" w:rsidRPr="00537889" w:rsidRDefault="00C74501">
      <w:pPr>
        <w:pStyle w:val="TOC1"/>
        <w:tabs>
          <w:tab w:val="left" w:pos="480"/>
          <w:tab w:val="right" w:leader="dot" w:pos="9016"/>
        </w:tabs>
        <w:rPr>
          <w:rFonts w:ascii="Arial" w:eastAsiaTheme="minorEastAsia" w:hAnsi="Arial" w:cs="Arial"/>
          <w:b w:val="0"/>
          <w:bCs w:val="0"/>
          <w:caps w:val="0"/>
          <w:noProof/>
          <w:sz w:val="22"/>
          <w:szCs w:val="22"/>
        </w:rPr>
      </w:pPr>
      <w:hyperlink w:anchor="_Toc75870258" w:history="1">
        <w:r w:rsidR="00C6336F" w:rsidRPr="00537889">
          <w:rPr>
            <w:rStyle w:val="Hyperlink"/>
            <w:rFonts w:ascii="Arial" w:hAnsi="Arial" w:cs="Arial"/>
            <w:noProof/>
          </w:rPr>
          <w:t>8.</w:t>
        </w:r>
        <w:r w:rsidR="00C6336F" w:rsidRPr="00537889">
          <w:rPr>
            <w:rFonts w:ascii="Arial" w:eastAsiaTheme="minorEastAsia" w:hAnsi="Arial" w:cs="Arial"/>
            <w:b w:val="0"/>
            <w:bCs w:val="0"/>
            <w:caps w:val="0"/>
            <w:noProof/>
            <w:sz w:val="22"/>
            <w:szCs w:val="22"/>
          </w:rPr>
          <w:tab/>
        </w:r>
        <w:r w:rsidR="00537889" w:rsidRPr="00537889">
          <w:rPr>
            <w:rStyle w:val="Hyperlink"/>
            <w:rFonts w:ascii="Arial" w:hAnsi="Arial" w:cs="Arial"/>
            <w:caps w:val="0"/>
            <w:noProof/>
          </w:rPr>
          <w:t>Measurement and related payment</w:t>
        </w:r>
        <w:r w:rsidR="00C6336F" w:rsidRPr="00537889">
          <w:rPr>
            <w:rFonts w:ascii="Arial" w:hAnsi="Arial" w:cs="Arial"/>
            <w:noProof/>
            <w:webHidden/>
          </w:rPr>
          <w:tab/>
        </w:r>
        <w:r w:rsidR="00C6336F" w:rsidRPr="00537889">
          <w:rPr>
            <w:rFonts w:ascii="Arial" w:hAnsi="Arial" w:cs="Arial"/>
            <w:noProof/>
            <w:webHidden/>
          </w:rPr>
          <w:fldChar w:fldCharType="begin"/>
        </w:r>
        <w:r w:rsidR="00C6336F" w:rsidRPr="00537889">
          <w:rPr>
            <w:rFonts w:ascii="Arial" w:hAnsi="Arial" w:cs="Arial"/>
            <w:noProof/>
            <w:webHidden/>
          </w:rPr>
          <w:instrText xml:space="preserve"> PAGEREF _Toc75870258 \h </w:instrText>
        </w:r>
        <w:r w:rsidR="00C6336F" w:rsidRPr="00537889">
          <w:rPr>
            <w:rFonts w:ascii="Arial" w:hAnsi="Arial" w:cs="Arial"/>
            <w:noProof/>
            <w:webHidden/>
          </w:rPr>
        </w:r>
        <w:r w:rsidR="00C6336F" w:rsidRPr="00537889">
          <w:rPr>
            <w:rFonts w:ascii="Arial" w:hAnsi="Arial" w:cs="Arial"/>
            <w:noProof/>
            <w:webHidden/>
          </w:rPr>
          <w:fldChar w:fldCharType="separate"/>
        </w:r>
        <w:r w:rsidR="00C6336F" w:rsidRPr="00537889">
          <w:rPr>
            <w:rFonts w:ascii="Arial" w:hAnsi="Arial" w:cs="Arial"/>
            <w:noProof/>
            <w:webHidden/>
          </w:rPr>
          <w:t>6</w:t>
        </w:r>
        <w:r w:rsidR="00C6336F" w:rsidRPr="00537889">
          <w:rPr>
            <w:rFonts w:ascii="Arial" w:hAnsi="Arial" w:cs="Arial"/>
            <w:noProof/>
            <w:webHidden/>
          </w:rPr>
          <w:fldChar w:fldCharType="end"/>
        </w:r>
      </w:hyperlink>
    </w:p>
    <w:p w14:paraId="6E482DC5" w14:textId="48BC22BB" w:rsidR="00C6336F" w:rsidRPr="00537889" w:rsidRDefault="00C74501">
      <w:pPr>
        <w:pStyle w:val="TOC1"/>
        <w:tabs>
          <w:tab w:val="left" w:pos="480"/>
          <w:tab w:val="right" w:leader="dot" w:pos="9016"/>
        </w:tabs>
        <w:rPr>
          <w:rFonts w:ascii="Arial" w:eastAsiaTheme="minorEastAsia" w:hAnsi="Arial" w:cs="Arial"/>
          <w:b w:val="0"/>
          <w:bCs w:val="0"/>
          <w:caps w:val="0"/>
          <w:noProof/>
          <w:sz w:val="22"/>
          <w:szCs w:val="22"/>
        </w:rPr>
      </w:pPr>
      <w:hyperlink w:anchor="_Toc75870259" w:history="1">
        <w:r w:rsidR="00C6336F" w:rsidRPr="00537889">
          <w:rPr>
            <w:rStyle w:val="Hyperlink"/>
            <w:rFonts w:ascii="Arial" w:hAnsi="Arial" w:cs="Arial"/>
            <w:noProof/>
          </w:rPr>
          <w:t>9.</w:t>
        </w:r>
        <w:r w:rsidR="00C6336F" w:rsidRPr="00537889">
          <w:rPr>
            <w:rFonts w:ascii="Arial" w:eastAsiaTheme="minorEastAsia" w:hAnsi="Arial" w:cs="Arial"/>
            <w:b w:val="0"/>
            <w:bCs w:val="0"/>
            <w:caps w:val="0"/>
            <w:noProof/>
            <w:sz w:val="22"/>
            <w:szCs w:val="22"/>
          </w:rPr>
          <w:tab/>
        </w:r>
        <w:r w:rsidR="00537889" w:rsidRPr="00537889">
          <w:rPr>
            <w:rStyle w:val="Hyperlink"/>
            <w:rFonts w:ascii="Arial" w:hAnsi="Arial" w:cs="Arial"/>
            <w:caps w:val="0"/>
            <w:noProof/>
          </w:rPr>
          <w:t>Core service standards</w:t>
        </w:r>
        <w:r w:rsidR="00C6336F" w:rsidRPr="00537889">
          <w:rPr>
            <w:rFonts w:ascii="Arial" w:hAnsi="Arial" w:cs="Arial"/>
            <w:noProof/>
            <w:webHidden/>
          </w:rPr>
          <w:tab/>
        </w:r>
        <w:r w:rsidR="00C6336F" w:rsidRPr="00537889">
          <w:rPr>
            <w:rFonts w:ascii="Arial" w:hAnsi="Arial" w:cs="Arial"/>
            <w:noProof/>
            <w:webHidden/>
          </w:rPr>
          <w:fldChar w:fldCharType="begin"/>
        </w:r>
        <w:r w:rsidR="00C6336F" w:rsidRPr="00537889">
          <w:rPr>
            <w:rFonts w:ascii="Arial" w:hAnsi="Arial" w:cs="Arial"/>
            <w:noProof/>
            <w:webHidden/>
          </w:rPr>
          <w:instrText xml:space="preserve"> PAGEREF _Toc75870259 \h </w:instrText>
        </w:r>
        <w:r w:rsidR="00C6336F" w:rsidRPr="00537889">
          <w:rPr>
            <w:rFonts w:ascii="Arial" w:hAnsi="Arial" w:cs="Arial"/>
            <w:noProof/>
            <w:webHidden/>
          </w:rPr>
        </w:r>
        <w:r w:rsidR="00C6336F" w:rsidRPr="00537889">
          <w:rPr>
            <w:rFonts w:ascii="Arial" w:hAnsi="Arial" w:cs="Arial"/>
            <w:noProof/>
            <w:webHidden/>
          </w:rPr>
          <w:fldChar w:fldCharType="separate"/>
        </w:r>
        <w:r w:rsidR="00C6336F" w:rsidRPr="00537889">
          <w:rPr>
            <w:rFonts w:ascii="Arial" w:hAnsi="Arial" w:cs="Arial"/>
            <w:noProof/>
            <w:webHidden/>
          </w:rPr>
          <w:t>6</w:t>
        </w:r>
        <w:r w:rsidR="00C6336F" w:rsidRPr="00537889">
          <w:rPr>
            <w:rFonts w:ascii="Arial" w:hAnsi="Arial" w:cs="Arial"/>
            <w:noProof/>
            <w:webHidden/>
          </w:rPr>
          <w:fldChar w:fldCharType="end"/>
        </w:r>
      </w:hyperlink>
    </w:p>
    <w:p w14:paraId="6956A53E" w14:textId="5E4B167E" w:rsidR="00C6336F" w:rsidRDefault="00C6336F">
      <w:pPr>
        <w:rPr>
          <w:rFonts w:ascii="Arial" w:hAnsi="Arial"/>
        </w:rPr>
      </w:pPr>
      <w:r>
        <w:rPr>
          <w:rFonts w:ascii="Arial" w:hAnsi="Arial"/>
        </w:rPr>
        <w:fldChar w:fldCharType="end"/>
      </w:r>
    </w:p>
    <w:p w14:paraId="15A08518" w14:textId="3381FDF0" w:rsidR="00537889" w:rsidRDefault="00537889">
      <w:pPr>
        <w:rPr>
          <w:rFonts w:ascii="Arial" w:hAnsi="Arial"/>
        </w:rPr>
      </w:pPr>
      <w:r>
        <w:rPr>
          <w:rFonts w:ascii="Arial" w:hAnsi="Arial"/>
        </w:rPr>
        <w:br w:type="page"/>
      </w:r>
    </w:p>
    <w:p w14:paraId="1CF7C09F" w14:textId="77777777" w:rsidR="001E4F48" w:rsidRDefault="001E4F48">
      <w:pPr>
        <w:rPr>
          <w:rFonts w:ascii="Arial" w:hAnsi="Arial"/>
        </w:rPr>
      </w:pPr>
    </w:p>
    <w:p w14:paraId="46F91CE0" w14:textId="28EC87B9" w:rsidR="00F135A1" w:rsidRPr="00B161FE" w:rsidRDefault="00F135A1" w:rsidP="00B161FE">
      <w:pPr>
        <w:pStyle w:val="Heading1"/>
        <w:numPr>
          <w:ilvl w:val="0"/>
          <w:numId w:val="28"/>
        </w:numPr>
      </w:pPr>
      <w:bookmarkStart w:id="8" w:name="_Toc75870251"/>
      <w:r w:rsidRPr="00B161FE">
        <w:t>Introduction</w:t>
      </w:r>
      <w:bookmarkEnd w:id="8"/>
    </w:p>
    <w:p w14:paraId="0BA7B276" w14:textId="77777777" w:rsidR="00075719" w:rsidRPr="00075719" w:rsidRDefault="00075719" w:rsidP="001E4F48">
      <w:pPr>
        <w:pStyle w:val="TCHeading2"/>
        <w:tabs>
          <w:tab w:val="clear" w:pos="851"/>
          <w:tab w:val="left" w:pos="1276"/>
        </w:tabs>
        <w:ind w:left="1134"/>
        <w:rPr>
          <w:b w:val="0"/>
          <w:bCs/>
        </w:rPr>
      </w:pPr>
      <w:r w:rsidRPr="00075719">
        <w:rPr>
          <w:b w:val="0"/>
          <w:bCs/>
        </w:rPr>
        <w:t>The Agent Agreement must be used by the Purchasing Authority when placing an Order for the supply of Knowledge Resources through an Agent who is an appointed Provider to the NICE Electronic and Print Content Framework Agreement.</w:t>
      </w:r>
    </w:p>
    <w:p w14:paraId="3B760035" w14:textId="77777777" w:rsidR="00075719" w:rsidRPr="00075719" w:rsidRDefault="00075719" w:rsidP="001E4F48">
      <w:pPr>
        <w:pStyle w:val="TCHeading2"/>
        <w:tabs>
          <w:tab w:val="clear" w:pos="851"/>
          <w:tab w:val="left" w:pos="1276"/>
        </w:tabs>
        <w:ind w:left="1134"/>
        <w:rPr>
          <w:b w:val="0"/>
          <w:bCs/>
        </w:rPr>
      </w:pPr>
      <w:bookmarkStart w:id="9" w:name="_Hlk57821019"/>
      <w:r w:rsidRPr="00075719">
        <w:rPr>
          <w:b w:val="0"/>
          <w:bCs/>
        </w:rPr>
        <w:t xml:space="preserve">A full list of appointed Providers to the Framework can be found at: https://www.nice.org.uk/about/nice-communities/library-and-knowledge-services-staff/buy-books-journals-and-databases </w:t>
      </w:r>
    </w:p>
    <w:bookmarkEnd w:id="9"/>
    <w:p w14:paraId="38F2B298" w14:textId="77777777" w:rsidR="00075719" w:rsidRPr="00075719" w:rsidRDefault="00075719" w:rsidP="001E4F48">
      <w:pPr>
        <w:pStyle w:val="TCHeading2"/>
        <w:tabs>
          <w:tab w:val="clear" w:pos="851"/>
          <w:tab w:val="left" w:pos="1276"/>
        </w:tabs>
        <w:ind w:left="1134"/>
        <w:rPr>
          <w:b w:val="0"/>
          <w:bCs/>
        </w:rPr>
      </w:pPr>
      <w:r w:rsidRPr="00075719">
        <w:rPr>
          <w:b w:val="0"/>
          <w:bCs/>
        </w:rPr>
        <w:t>The Agent Agreement should be used in conjunction with:</w:t>
      </w:r>
    </w:p>
    <w:p w14:paraId="51BA33AE" w14:textId="77777777" w:rsidR="00075719" w:rsidRPr="00C323D8" w:rsidRDefault="00075719" w:rsidP="001E4F48">
      <w:pPr>
        <w:pStyle w:val="TCBodyLevelafterH2"/>
        <w:tabs>
          <w:tab w:val="clear" w:pos="1701"/>
          <w:tab w:val="left" w:pos="2268"/>
        </w:tabs>
        <w:ind w:left="2694"/>
      </w:pPr>
      <w:bookmarkStart w:id="10" w:name="_Hlk57129649"/>
      <w:r w:rsidRPr="00C323D8">
        <w:t>the “Call Off Order Form” and any annexes and the “Call Off Terms &amp; Conditions” and any annexes (excluding Provider Terms</w:t>
      </w:r>
      <w:proofErr w:type="gramStart"/>
      <w:r w:rsidRPr="00C323D8">
        <w:t>);</w:t>
      </w:r>
      <w:proofErr w:type="gramEnd"/>
    </w:p>
    <w:p w14:paraId="6F5D7878" w14:textId="77777777" w:rsidR="00075719" w:rsidRPr="00C323D8" w:rsidRDefault="00075719" w:rsidP="001E4F48">
      <w:pPr>
        <w:pStyle w:val="TCBodyLevelafterH2"/>
        <w:tabs>
          <w:tab w:val="clear" w:pos="1701"/>
          <w:tab w:val="left" w:pos="2268"/>
          <w:tab w:val="left" w:pos="2410"/>
        </w:tabs>
        <w:ind w:left="2694"/>
      </w:pPr>
      <w:r w:rsidRPr="00C323D8">
        <w:t>the “Agent Agreement</w:t>
      </w:r>
      <w:proofErr w:type="gramStart"/>
      <w:r w:rsidRPr="00C323D8">
        <w:t>”;</w:t>
      </w:r>
      <w:proofErr w:type="gramEnd"/>
    </w:p>
    <w:p w14:paraId="6FE380C3" w14:textId="77777777" w:rsidR="00075719" w:rsidRPr="00C323D8" w:rsidRDefault="00075719" w:rsidP="001E4F48">
      <w:pPr>
        <w:pStyle w:val="TCBodyLevelafterH2"/>
        <w:tabs>
          <w:tab w:val="clear" w:pos="1701"/>
          <w:tab w:val="left" w:pos="2268"/>
          <w:tab w:val="left" w:pos="2410"/>
        </w:tabs>
        <w:ind w:left="2694"/>
      </w:pPr>
      <w:r w:rsidRPr="00C323D8">
        <w:t xml:space="preserve">the </w:t>
      </w:r>
      <w:r>
        <w:t>P</w:t>
      </w:r>
      <w:r w:rsidRPr="00C323D8">
        <w:t xml:space="preserve">ublisher </w:t>
      </w:r>
      <w:proofErr w:type="gramStart"/>
      <w:r w:rsidRPr="00C323D8">
        <w:t>licence</w:t>
      </w:r>
      <w:proofErr w:type="gramEnd"/>
      <w:r w:rsidRPr="00C323D8">
        <w:t>.</w:t>
      </w:r>
    </w:p>
    <w:bookmarkEnd w:id="10"/>
    <w:p w14:paraId="05CFABB5" w14:textId="77777777" w:rsidR="00075719" w:rsidRPr="00C323D8" w:rsidRDefault="00075719" w:rsidP="001E4F48">
      <w:pPr>
        <w:pStyle w:val="TCBodyLevelafterH2"/>
        <w:tabs>
          <w:tab w:val="clear" w:pos="1701"/>
          <w:tab w:val="left" w:pos="2268"/>
        </w:tabs>
        <w:ind w:left="2694"/>
      </w:pPr>
      <w:r w:rsidRPr="00C323D8">
        <w:t xml:space="preserve">the “Terms &amp; Conditions of Contract for NICE Electronic and Print Content Framework Agreement” and any </w:t>
      </w:r>
      <w:proofErr w:type="gramStart"/>
      <w:r w:rsidRPr="00C323D8">
        <w:t>annexes;</w:t>
      </w:r>
      <w:proofErr w:type="gramEnd"/>
      <w:r w:rsidRPr="00C323D8">
        <w:t xml:space="preserve"> </w:t>
      </w:r>
    </w:p>
    <w:p w14:paraId="0AFB03C4" w14:textId="77777777" w:rsidR="00075719" w:rsidRPr="00075719" w:rsidRDefault="00075719" w:rsidP="001E4F48">
      <w:pPr>
        <w:pStyle w:val="TCHeading2"/>
        <w:tabs>
          <w:tab w:val="clear" w:pos="851"/>
        </w:tabs>
        <w:ind w:left="1134"/>
        <w:rPr>
          <w:b w:val="0"/>
          <w:bCs/>
        </w:rPr>
      </w:pPr>
      <w:r w:rsidRPr="00075719">
        <w:rPr>
          <w:b w:val="0"/>
          <w:bCs/>
        </w:rPr>
        <w:t>All terms in this Agent Agreement must not be altered and are non-negotiable. Where additional terms are agreed these should be set out in Annex SIX: Additional Terms” to the “Call Off Order Form”. These additional terms must not conflict with, or materially change, the terms in:</w:t>
      </w:r>
    </w:p>
    <w:p w14:paraId="5ACC34D8" w14:textId="77777777" w:rsidR="00075719" w:rsidRPr="00CC6B41" w:rsidRDefault="00075719" w:rsidP="001E4F48">
      <w:pPr>
        <w:pStyle w:val="TCBodyLevelafterH2"/>
        <w:tabs>
          <w:tab w:val="clear" w:pos="1701"/>
          <w:tab w:val="left" w:pos="2268"/>
        </w:tabs>
        <w:ind w:left="2694"/>
      </w:pPr>
      <w:r w:rsidRPr="00CC6B41">
        <w:t xml:space="preserve">the “Terms and Conditions of Contract for NICE Electronic and Print </w:t>
      </w:r>
      <w:proofErr w:type="gramStart"/>
      <w:r w:rsidRPr="00CC6B41">
        <w:t>Content”  and</w:t>
      </w:r>
      <w:proofErr w:type="gramEnd"/>
      <w:r w:rsidRPr="00CC6B41">
        <w:t xml:space="preserve"> any Annexes”; </w:t>
      </w:r>
    </w:p>
    <w:p w14:paraId="6714169C" w14:textId="77777777" w:rsidR="00075719" w:rsidRPr="00CC6B41" w:rsidRDefault="00075719" w:rsidP="001E4F48">
      <w:pPr>
        <w:pStyle w:val="TCBodyLevelafterH2"/>
        <w:tabs>
          <w:tab w:val="clear" w:pos="1701"/>
          <w:tab w:val="left" w:pos="2268"/>
        </w:tabs>
        <w:ind w:left="2694"/>
      </w:pPr>
      <w:r w:rsidRPr="00CC6B41">
        <w:t xml:space="preserve">the “Call Off Order Form” and any </w:t>
      </w:r>
      <w:proofErr w:type="gramStart"/>
      <w:r w:rsidRPr="00CC6B41">
        <w:t>annexes;</w:t>
      </w:r>
      <w:proofErr w:type="gramEnd"/>
      <w:r w:rsidRPr="00CC6B41">
        <w:t xml:space="preserve"> </w:t>
      </w:r>
    </w:p>
    <w:p w14:paraId="08B45E34" w14:textId="77777777" w:rsidR="00075719" w:rsidRPr="00CC6B41" w:rsidRDefault="00075719" w:rsidP="001E4F48">
      <w:pPr>
        <w:pStyle w:val="TCBodyLevelafterH2"/>
        <w:tabs>
          <w:tab w:val="clear" w:pos="1701"/>
          <w:tab w:val="left" w:pos="2268"/>
        </w:tabs>
        <w:ind w:left="2694"/>
      </w:pPr>
      <w:r w:rsidRPr="00CC6B41">
        <w:t xml:space="preserve">the “Call Off Terms &amp; Conditions” and any </w:t>
      </w:r>
      <w:proofErr w:type="gramStart"/>
      <w:r w:rsidRPr="00CC6B41">
        <w:t>annexes;</w:t>
      </w:r>
      <w:proofErr w:type="gramEnd"/>
      <w:r w:rsidRPr="00CC6B41">
        <w:t xml:space="preserve"> </w:t>
      </w:r>
    </w:p>
    <w:p w14:paraId="0A8EAA37" w14:textId="77777777" w:rsidR="00075719" w:rsidRPr="00CC6B41" w:rsidRDefault="00075719" w:rsidP="001E4F48">
      <w:pPr>
        <w:pStyle w:val="TCBodyLevelafterH2"/>
        <w:tabs>
          <w:tab w:val="clear" w:pos="1701"/>
          <w:tab w:val="left" w:pos="2268"/>
        </w:tabs>
        <w:ind w:left="2694"/>
      </w:pPr>
      <w:r w:rsidRPr="00CC6B41">
        <w:t xml:space="preserve">this Agent </w:t>
      </w:r>
      <w:proofErr w:type="gramStart"/>
      <w:r w:rsidRPr="00CC6B41">
        <w:t>Agreement;</w:t>
      </w:r>
      <w:proofErr w:type="gramEnd"/>
      <w:r w:rsidRPr="00CC6B41">
        <w:t xml:space="preserve"> </w:t>
      </w:r>
    </w:p>
    <w:p w14:paraId="1E24B1BC" w14:textId="77777777" w:rsidR="00075719" w:rsidRPr="00CC6B41" w:rsidRDefault="00075719" w:rsidP="001E4F48">
      <w:pPr>
        <w:pStyle w:val="TCBodyLevelafterH2"/>
        <w:tabs>
          <w:tab w:val="clear" w:pos="1701"/>
          <w:tab w:val="left" w:pos="2268"/>
        </w:tabs>
        <w:ind w:left="2694"/>
      </w:pPr>
      <w:r w:rsidRPr="00CC6B41">
        <w:t xml:space="preserve">any </w:t>
      </w:r>
      <w:r>
        <w:t>P</w:t>
      </w:r>
      <w:r w:rsidRPr="00CC6B41">
        <w:t>ublisher enforced licensing terms.</w:t>
      </w:r>
    </w:p>
    <w:p w14:paraId="00C34428" w14:textId="77777777" w:rsidR="00075719" w:rsidRPr="00075719" w:rsidRDefault="00075719" w:rsidP="001E4F48">
      <w:pPr>
        <w:pStyle w:val="TCHeading2"/>
        <w:tabs>
          <w:tab w:val="clear" w:pos="851"/>
        </w:tabs>
        <w:ind w:left="1134"/>
        <w:rPr>
          <w:b w:val="0"/>
          <w:bCs/>
        </w:rPr>
      </w:pPr>
      <w:r w:rsidRPr="00075719">
        <w:rPr>
          <w:b w:val="0"/>
          <w:bCs/>
        </w:rPr>
        <w:t>Where any clauses referred to in this Agent Agreement are not relevant to the Knowledge Resource(s) purchased, the text of these clauses should be removed and replaced with the term “NOT USED”. The clause numbers must remain as per the original Agent Agreement document.</w:t>
      </w:r>
    </w:p>
    <w:p w14:paraId="5E1A5140" w14:textId="77777777" w:rsidR="00075719" w:rsidRPr="00075719" w:rsidRDefault="00075719" w:rsidP="001E4F48">
      <w:pPr>
        <w:pStyle w:val="TCHeading2"/>
        <w:tabs>
          <w:tab w:val="clear" w:pos="851"/>
        </w:tabs>
        <w:ind w:left="1134"/>
        <w:rPr>
          <w:b w:val="0"/>
          <w:bCs/>
        </w:rPr>
      </w:pPr>
      <w:r w:rsidRPr="00075719">
        <w:rPr>
          <w:b w:val="0"/>
          <w:bCs/>
        </w:rPr>
        <w:t>Guidance Notes for purchasers [</w:t>
      </w:r>
      <w:r w:rsidRPr="00075719">
        <w:rPr>
          <w:b w:val="0"/>
          <w:bCs/>
          <w:highlight w:val="yellow"/>
        </w:rPr>
        <w:t>highlighted</w:t>
      </w:r>
      <w:r w:rsidRPr="00075719">
        <w:rPr>
          <w:b w:val="0"/>
          <w:bCs/>
        </w:rPr>
        <w:t>] are provided throughout this document.</w:t>
      </w:r>
    </w:p>
    <w:p w14:paraId="2EA7F9CC" w14:textId="77777777" w:rsidR="00F135A1" w:rsidRDefault="00F135A1" w:rsidP="00C6336F">
      <w:pPr>
        <w:pStyle w:val="Style2"/>
      </w:pPr>
    </w:p>
    <w:p w14:paraId="452A61BB" w14:textId="50C3DBF0" w:rsidR="00F135A1" w:rsidRPr="00C6336F" w:rsidRDefault="00F135A1" w:rsidP="00C6336F">
      <w:pPr>
        <w:pStyle w:val="Heading1"/>
      </w:pPr>
      <w:bookmarkStart w:id="11" w:name="_Toc75870252"/>
      <w:r w:rsidRPr="00C6336F">
        <w:lastRenderedPageBreak/>
        <w:t>Defined terms</w:t>
      </w:r>
      <w:bookmarkEnd w:id="11"/>
    </w:p>
    <w:p w14:paraId="1B51505E" w14:textId="1339360C" w:rsidR="00075719" w:rsidRPr="00075719" w:rsidRDefault="00075719" w:rsidP="00B161FE">
      <w:pPr>
        <w:pStyle w:val="TCBodyLevelafterH2"/>
        <w:numPr>
          <w:ilvl w:val="1"/>
          <w:numId w:val="27"/>
        </w:numPr>
        <w:ind w:left="993" w:hanging="567"/>
      </w:pPr>
      <w:r w:rsidRPr="00075719">
        <w:t>In this Agreement the words and expressions below will be interpreted to have the meanings adjacent to them: The following definitions should be read in conjunction with those set out in cl</w:t>
      </w:r>
      <w:r w:rsidRPr="00075719">
        <w:rPr>
          <w:color w:val="000000" w:themeColor="text1"/>
        </w:rPr>
        <w:t xml:space="preserve">auses 4: Defined Terms in the </w:t>
      </w:r>
      <w:r w:rsidRPr="00075719">
        <w:t xml:space="preserve">“Call Off Terms &amp; Conditions” document: </w:t>
      </w:r>
    </w:p>
    <w:tbl>
      <w:tblPr>
        <w:tblStyle w:val="TableGridLight"/>
        <w:tblW w:w="0" w:type="auto"/>
        <w:tblLook w:val="04A0" w:firstRow="1" w:lastRow="0" w:firstColumn="1" w:lastColumn="0" w:noHBand="0" w:noVBand="1"/>
      </w:tblPr>
      <w:tblGrid>
        <w:gridCol w:w="2353"/>
        <w:gridCol w:w="5943"/>
      </w:tblGrid>
      <w:tr w:rsidR="00075719" w:rsidRPr="00B27E3E" w14:paraId="6C4D4319" w14:textId="77777777" w:rsidTr="001E4F48">
        <w:tc>
          <w:tcPr>
            <w:tcW w:w="2353" w:type="dxa"/>
          </w:tcPr>
          <w:p w14:paraId="1984F5E0" w14:textId="77777777" w:rsidR="00075719" w:rsidRPr="00C6715F" w:rsidDel="00593D55" w:rsidRDefault="00075719" w:rsidP="00413CE4">
            <w:pPr>
              <w:pStyle w:val="TCTableHeading"/>
              <w:rPr>
                <w:color w:val="000000" w:themeColor="text1"/>
              </w:rPr>
            </w:pPr>
            <w:r w:rsidRPr="00C6715F">
              <w:rPr>
                <w:color w:val="000000" w:themeColor="text1"/>
              </w:rPr>
              <w:t>“Agent”</w:t>
            </w:r>
          </w:p>
        </w:tc>
        <w:tc>
          <w:tcPr>
            <w:tcW w:w="5943" w:type="dxa"/>
          </w:tcPr>
          <w:p w14:paraId="1CD9500B" w14:textId="77777777" w:rsidR="00075719" w:rsidRPr="00C6715F" w:rsidRDefault="00075719" w:rsidP="00413CE4">
            <w:pPr>
              <w:pStyle w:val="TCTable"/>
              <w:rPr>
                <w:color w:val="000000" w:themeColor="text1"/>
              </w:rPr>
            </w:pPr>
            <w:r w:rsidRPr="00C6715F">
              <w:rPr>
                <w:color w:val="000000" w:themeColor="text1"/>
              </w:rPr>
              <w:t xml:space="preserve">means an organisation or intermediary which does not own the Intellectual Property Rights (IPR) to the Goods or Licensed Materials provided. </w:t>
            </w:r>
          </w:p>
          <w:p w14:paraId="57E07C47" w14:textId="77777777" w:rsidR="00075719" w:rsidRPr="00C6715F" w:rsidRDefault="00075719" w:rsidP="00413CE4">
            <w:pPr>
              <w:pStyle w:val="TCTable"/>
              <w:rPr>
                <w:color w:val="000000" w:themeColor="text1"/>
              </w:rPr>
            </w:pPr>
          </w:p>
          <w:p w14:paraId="5A0C982B" w14:textId="77777777" w:rsidR="00075719" w:rsidRDefault="00075719" w:rsidP="00413CE4">
            <w:pPr>
              <w:pStyle w:val="TCTable"/>
              <w:rPr>
                <w:color w:val="000000" w:themeColor="text1"/>
              </w:rPr>
            </w:pPr>
            <w:r w:rsidRPr="00C6715F">
              <w:rPr>
                <w:color w:val="000000" w:themeColor="text1"/>
              </w:rPr>
              <w:t>The Agent acting on the Purchasing Authority’s behalf, may undertake any or all of the obligations of the Purchasing Authority under the “Call Off Order Form” and the “Call Off Terms &amp; Conditions” and the Licence Agreement(s), as agreed between the Purchasing Authority and the Agent.</w:t>
            </w:r>
          </w:p>
          <w:p w14:paraId="3036846F" w14:textId="77777777" w:rsidR="00075719" w:rsidRDefault="00075719" w:rsidP="00413CE4">
            <w:pPr>
              <w:pStyle w:val="TCTable"/>
              <w:rPr>
                <w:color w:val="000000" w:themeColor="text1"/>
              </w:rPr>
            </w:pPr>
          </w:p>
          <w:p w14:paraId="368375DC" w14:textId="77777777" w:rsidR="00075719" w:rsidRPr="004D07FE" w:rsidRDefault="00075719" w:rsidP="00413CE4">
            <w:pPr>
              <w:pStyle w:val="TCTable"/>
              <w:rPr>
                <w:color w:val="000000" w:themeColor="text1"/>
              </w:rPr>
            </w:pPr>
            <w:r>
              <w:rPr>
                <w:rFonts w:cs="Arial"/>
                <w:color w:val="000000" w:themeColor="text1"/>
              </w:rPr>
              <w:t>For the avoidance of doubt, Agent also includes booksellers under this Framework;</w:t>
            </w:r>
          </w:p>
        </w:tc>
      </w:tr>
      <w:tr w:rsidR="00075719" w:rsidRPr="00B27E3E" w14:paraId="05C696FB" w14:textId="77777777" w:rsidTr="001E4F48">
        <w:tc>
          <w:tcPr>
            <w:tcW w:w="2353" w:type="dxa"/>
          </w:tcPr>
          <w:p w14:paraId="6B140F8A" w14:textId="77777777" w:rsidR="00075719" w:rsidRPr="002C11A9" w:rsidRDefault="00075719" w:rsidP="00413CE4">
            <w:pPr>
              <w:pStyle w:val="TCTableHeading"/>
              <w:rPr>
                <w:color w:val="000000" w:themeColor="text1"/>
              </w:rPr>
            </w:pPr>
            <w:r>
              <w:rPr>
                <w:color w:val="000000" w:themeColor="text1"/>
              </w:rPr>
              <w:t>“Core Service Standards”</w:t>
            </w:r>
          </w:p>
        </w:tc>
        <w:tc>
          <w:tcPr>
            <w:tcW w:w="5943" w:type="dxa"/>
          </w:tcPr>
          <w:p w14:paraId="7BA50BE7" w14:textId="77777777" w:rsidR="00075719" w:rsidRPr="002C11A9" w:rsidRDefault="00075719" w:rsidP="00413CE4">
            <w:pPr>
              <w:pStyle w:val="TCTable"/>
              <w:rPr>
                <w:color w:val="000000" w:themeColor="text1"/>
              </w:rPr>
            </w:pPr>
            <w:r>
              <w:rPr>
                <w:color w:val="000000" w:themeColor="text1"/>
              </w:rPr>
              <w:t>means, the expected standards and objectives for the Service;</w:t>
            </w:r>
          </w:p>
        </w:tc>
      </w:tr>
      <w:tr w:rsidR="00075719" w:rsidRPr="00B27E3E" w14:paraId="72303E77" w14:textId="77777777" w:rsidTr="001E4F48">
        <w:tc>
          <w:tcPr>
            <w:tcW w:w="2353" w:type="dxa"/>
          </w:tcPr>
          <w:p w14:paraId="2E9ACA9D" w14:textId="77777777" w:rsidR="00075719" w:rsidRPr="00B27E3E" w:rsidRDefault="00075719" w:rsidP="00413CE4">
            <w:pPr>
              <w:pStyle w:val="TCTableHeading"/>
              <w:rPr>
                <w:rFonts w:cs="Arial"/>
                <w:color w:val="000000" w:themeColor="text1"/>
              </w:rPr>
            </w:pPr>
            <w:r w:rsidRPr="00B27E3E">
              <w:rPr>
                <w:rFonts w:cs="Arial"/>
                <w:color w:val="000000" w:themeColor="text1"/>
              </w:rPr>
              <w:t xml:space="preserve"> “Fee” </w:t>
            </w:r>
          </w:p>
        </w:tc>
        <w:tc>
          <w:tcPr>
            <w:tcW w:w="5943" w:type="dxa"/>
          </w:tcPr>
          <w:p w14:paraId="035BC20E" w14:textId="77777777" w:rsidR="00075719" w:rsidRPr="00B27E3E" w:rsidRDefault="00075719" w:rsidP="00413CE4">
            <w:pPr>
              <w:pStyle w:val="TCTable"/>
              <w:rPr>
                <w:rFonts w:cs="Arial"/>
                <w:color w:val="000000" w:themeColor="text1"/>
              </w:rPr>
            </w:pPr>
            <w:r w:rsidRPr="00B27E3E">
              <w:rPr>
                <w:rFonts w:cs="Arial"/>
                <w:color w:val="000000" w:themeColor="text1"/>
              </w:rPr>
              <w:t xml:space="preserve">means, the fee set out in Annex </w:t>
            </w:r>
            <w:r>
              <w:rPr>
                <w:rFonts w:cs="Arial"/>
                <w:color w:val="000000" w:themeColor="text1"/>
              </w:rPr>
              <w:t>FOUR</w:t>
            </w:r>
            <w:r w:rsidRPr="00B27E3E">
              <w:rPr>
                <w:rFonts w:cs="Arial"/>
                <w:color w:val="000000" w:themeColor="text1"/>
              </w:rPr>
              <w:t>: Price Schedule to the “</w:t>
            </w:r>
            <w:r>
              <w:rPr>
                <w:rFonts w:cs="Arial"/>
                <w:color w:val="000000" w:themeColor="text1"/>
              </w:rPr>
              <w:t xml:space="preserve">Call Off </w:t>
            </w:r>
            <w:r w:rsidRPr="00B27E3E">
              <w:rPr>
                <w:rFonts w:cs="Arial"/>
                <w:color w:val="000000" w:themeColor="text1"/>
              </w:rPr>
              <w:t xml:space="preserve">Order </w:t>
            </w:r>
            <w:r>
              <w:rPr>
                <w:rFonts w:cs="Arial"/>
                <w:color w:val="000000" w:themeColor="text1"/>
              </w:rPr>
              <w:t>Form</w:t>
            </w:r>
            <w:r w:rsidRPr="00B27E3E">
              <w:rPr>
                <w:rFonts w:cs="Arial"/>
                <w:color w:val="000000" w:themeColor="text1"/>
              </w:rPr>
              <w:t>”;</w:t>
            </w:r>
          </w:p>
        </w:tc>
      </w:tr>
      <w:tr w:rsidR="00075719" w:rsidRPr="00B27E3E" w14:paraId="4CC30641" w14:textId="77777777" w:rsidTr="001E4F48">
        <w:tc>
          <w:tcPr>
            <w:tcW w:w="2353" w:type="dxa"/>
          </w:tcPr>
          <w:p w14:paraId="3FD961F4" w14:textId="77777777" w:rsidR="00075719" w:rsidRPr="004D07FE" w:rsidRDefault="00075719" w:rsidP="00413CE4">
            <w:pPr>
              <w:pStyle w:val="TCTableHeading"/>
              <w:rPr>
                <w:color w:val="000000" w:themeColor="text1"/>
              </w:rPr>
            </w:pPr>
            <w:r w:rsidRPr="004D07FE">
              <w:rPr>
                <w:color w:val="000000" w:themeColor="text1"/>
              </w:rPr>
              <w:t xml:space="preserve"> “General Enquiries” </w:t>
            </w:r>
          </w:p>
        </w:tc>
        <w:tc>
          <w:tcPr>
            <w:tcW w:w="5943" w:type="dxa"/>
          </w:tcPr>
          <w:p w14:paraId="118F97E6" w14:textId="77777777" w:rsidR="00075719" w:rsidRPr="004D07FE" w:rsidRDefault="00075719" w:rsidP="00413CE4">
            <w:pPr>
              <w:pStyle w:val="TCTable"/>
              <w:rPr>
                <w:color w:val="000000" w:themeColor="text1"/>
              </w:rPr>
            </w:pPr>
            <w:r w:rsidRPr="004D07FE">
              <w:rPr>
                <w:color w:val="000000" w:themeColor="text1"/>
              </w:rPr>
              <w:t xml:space="preserve">means, </w:t>
            </w:r>
            <w:r w:rsidRPr="00B27E3E">
              <w:rPr>
                <w:rFonts w:cs="Arial"/>
                <w:color w:val="000000" w:themeColor="text1"/>
              </w:rPr>
              <w:t>all 1st line or 2nd line support queries</w:t>
            </w:r>
            <w:r w:rsidRPr="004D07FE">
              <w:rPr>
                <w:color w:val="000000" w:themeColor="text1"/>
              </w:rPr>
              <w:t xml:space="preserve"> sent to the Provider for </w:t>
            </w:r>
            <w:r w:rsidRPr="00B27E3E">
              <w:rPr>
                <w:rFonts w:cs="Arial"/>
                <w:color w:val="000000" w:themeColor="text1"/>
              </w:rPr>
              <w:t xml:space="preserve">resolution that does not concern an </w:t>
            </w:r>
            <w:r>
              <w:rPr>
                <w:rFonts w:cs="Arial"/>
                <w:color w:val="000000" w:themeColor="text1"/>
              </w:rPr>
              <w:t>I</w:t>
            </w:r>
            <w:r w:rsidRPr="00B27E3E">
              <w:rPr>
                <w:rFonts w:cs="Arial"/>
                <w:color w:val="000000" w:themeColor="text1"/>
              </w:rPr>
              <w:t xml:space="preserve">ncident or critical query regarding any Order or term of this </w:t>
            </w:r>
            <w:r>
              <w:rPr>
                <w:rFonts w:cs="Arial"/>
                <w:color w:val="000000" w:themeColor="text1"/>
              </w:rPr>
              <w:t>Agent Agreement</w:t>
            </w:r>
            <w:r>
              <w:rPr>
                <w:color w:val="000000" w:themeColor="text1"/>
              </w:rPr>
              <w:t>;</w:t>
            </w:r>
          </w:p>
        </w:tc>
      </w:tr>
      <w:tr w:rsidR="00075719" w:rsidRPr="00B27E3E" w14:paraId="152F8A5E" w14:textId="77777777" w:rsidTr="001E4F48">
        <w:tc>
          <w:tcPr>
            <w:tcW w:w="2353" w:type="dxa"/>
          </w:tcPr>
          <w:p w14:paraId="70D3D230" w14:textId="77777777" w:rsidR="00075719" w:rsidRPr="004D07FE" w:rsidDel="00952845" w:rsidRDefault="00075719" w:rsidP="00413CE4">
            <w:pPr>
              <w:pStyle w:val="TCTableHeading"/>
              <w:rPr>
                <w:color w:val="000000" w:themeColor="text1"/>
              </w:rPr>
            </w:pPr>
            <w:r>
              <w:rPr>
                <w:color w:val="000000" w:themeColor="text1"/>
              </w:rPr>
              <w:t>“Incident”</w:t>
            </w:r>
          </w:p>
        </w:tc>
        <w:tc>
          <w:tcPr>
            <w:tcW w:w="5943" w:type="dxa"/>
          </w:tcPr>
          <w:p w14:paraId="09336ED5" w14:textId="77777777" w:rsidR="00075719" w:rsidRPr="004D07FE" w:rsidRDefault="00075719" w:rsidP="00413CE4">
            <w:pPr>
              <w:pStyle w:val="TCTable"/>
              <w:rPr>
                <w:color w:val="000000" w:themeColor="text1"/>
              </w:rPr>
            </w:pPr>
            <w:r w:rsidRPr="00BC285F">
              <w:rPr>
                <w:rFonts w:cs="Arial"/>
              </w:rPr>
              <w:t xml:space="preserve">means, a Service or quality Incident that results in the </w:t>
            </w:r>
            <w:r>
              <w:rPr>
                <w:rFonts w:cs="Arial"/>
              </w:rPr>
              <w:t xml:space="preserve">total </w:t>
            </w:r>
            <w:r w:rsidRPr="00BC285F">
              <w:rPr>
                <w:rFonts w:cs="Arial"/>
              </w:rPr>
              <w:t xml:space="preserve">unavailability of the </w:t>
            </w:r>
            <w:r>
              <w:rPr>
                <w:rFonts w:cs="Arial"/>
              </w:rPr>
              <w:t>Service;</w:t>
            </w:r>
          </w:p>
        </w:tc>
      </w:tr>
      <w:tr w:rsidR="00075719" w:rsidRPr="00B27E3E" w14:paraId="132B5F7E" w14:textId="77777777" w:rsidTr="001E4F48">
        <w:tc>
          <w:tcPr>
            <w:tcW w:w="2353" w:type="dxa"/>
          </w:tcPr>
          <w:p w14:paraId="5BDBF956" w14:textId="77777777" w:rsidR="00075719" w:rsidRPr="004D07FE" w:rsidRDefault="00075719" w:rsidP="00413CE4">
            <w:pPr>
              <w:pStyle w:val="TCTableHeading"/>
              <w:rPr>
                <w:color w:val="000000" w:themeColor="text1"/>
              </w:rPr>
            </w:pPr>
            <w:r w:rsidRPr="004D07FE" w:rsidDel="00952845">
              <w:rPr>
                <w:color w:val="000000" w:themeColor="text1"/>
              </w:rPr>
              <w:t xml:space="preserve"> </w:t>
            </w:r>
            <w:r w:rsidRPr="004D07FE">
              <w:rPr>
                <w:color w:val="000000" w:themeColor="text1"/>
              </w:rPr>
              <w:t xml:space="preserve"> “KPI” </w:t>
            </w:r>
          </w:p>
        </w:tc>
        <w:tc>
          <w:tcPr>
            <w:tcW w:w="5943" w:type="dxa"/>
          </w:tcPr>
          <w:p w14:paraId="20F93322" w14:textId="77777777" w:rsidR="00075719" w:rsidRPr="004D07FE" w:rsidRDefault="00075719" w:rsidP="00413CE4">
            <w:pPr>
              <w:pStyle w:val="TCTable"/>
              <w:rPr>
                <w:color w:val="000000" w:themeColor="text1"/>
              </w:rPr>
            </w:pPr>
            <w:r w:rsidRPr="004D07FE">
              <w:rPr>
                <w:color w:val="000000" w:themeColor="text1"/>
              </w:rPr>
              <w:t>means Key Performance Indicator(s) that are metrics used to quantify the performance of the Provider and monitor the Providers adherence to the Service Level Agreement(s</w:t>
            </w:r>
            <w:r w:rsidRPr="00B27E3E">
              <w:rPr>
                <w:rFonts w:cs="Arial"/>
                <w:iCs/>
                <w:color w:val="000000" w:themeColor="text1"/>
              </w:rPr>
              <w:t>)</w:t>
            </w:r>
            <w:r>
              <w:rPr>
                <w:rFonts w:cs="Arial"/>
                <w:iCs/>
                <w:color w:val="000000" w:themeColor="text1"/>
              </w:rPr>
              <w:t xml:space="preserve"> as </w:t>
            </w:r>
            <w:r w:rsidRPr="00166C8C">
              <w:rPr>
                <w:rFonts w:cs="Arial"/>
                <w:iCs/>
                <w:color w:val="000000" w:themeColor="text1"/>
              </w:rPr>
              <w:t xml:space="preserve">set out </w:t>
            </w:r>
            <w:r w:rsidRPr="000C37B9">
              <w:rPr>
                <w:rFonts w:cs="Arial"/>
                <w:iCs/>
                <w:color w:val="000000" w:themeColor="text1"/>
              </w:rPr>
              <w:t xml:space="preserve">in clauses </w:t>
            </w:r>
            <w:r w:rsidRPr="009F28C0">
              <w:rPr>
                <w:rFonts w:cs="Arial"/>
                <w:iCs/>
                <w:color w:val="000000" w:themeColor="text1"/>
              </w:rPr>
              <w:t>9: Core Service Standards</w:t>
            </w:r>
            <w:r w:rsidRPr="000C37B9">
              <w:rPr>
                <w:rFonts w:cs="Arial"/>
                <w:iCs/>
                <w:color w:val="000000" w:themeColor="text1"/>
              </w:rPr>
              <w:t>;</w:t>
            </w:r>
          </w:p>
        </w:tc>
      </w:tr>
      <w:tr w:rsidR="00075719" w:rsidRPr="00E26E50" w14:paraId="70D86C02" w14:textId="77777777" w:rsidTr="001E4F48">
        <w:tc>
          <w:tcPr>
            <w:tcW w:w="2353" w:type="dxa"/>
          </w:tcPr>
          <w:p w14:paraId="01FB2AD6" w14:textId="77777777" w:rsidR="00075719" w:rsidRPr="00610F81" w:rsidRDefault="00075719" w:rsidP="00413CE4">
            <w:pPr>
              <w:pStyle w:val="TCTableHeading"/>
              <w:rPr>
                <w:rFonts w:cs="Arial"/>
              </w:rPr>
            </w:pPr>
            <w:r w:rsidRPr="00610F81">
              <w:rPr>
                <w:rFonts w:cs="Arial"/>
              </w:rPr>
              <w:t xml:space="preserve">“Licensed Materials” </w:t>
            </w:r>
          </w:p>
        </w:tc>
        <w:tc>
          <w:tcPr>
            <w:tcW w:w="5943" w:type="dxa"/>
          </w:tcPr>
          <w:p w14:paraId="1BA700DA" w14:textId="77777777" w:rsidR="00075719" w:rsidRPr="00610F81" w:rsidRDefault="00075719" w:rsidP="00413CE4">
            <w:pPr>
              <w:pStyle w:val="TCTable"/>
              <w:rPr>
                <w:rFonts w:cs="Arial"/>
              </w:rPr>
            </w:pPr>
            <w:r w:rsidRPr="00610F81">
              <w:rPr>
                <w:rFonts w:cs="Arial"/>
              </w:rPr>
              <w:t xml:space="preserve">means the electronic material as set out in </w:t>
            </w:r>
            <w:r>
              <w:rPr>
                <w:rFonts w:cs="Arial"/>
                <w:color w:val="000000" w:themeColor="text1"/>
              </w:rPr>
              <w:t xml:space="preserve">Annex ONE: </w:t>
            </w:r>
            <w:r w:rsidRPr="00610F81">
              <w:rPr>
                <w:rFonts w:cs="Arial"/>
              </w:rPr>
              <w:t xml:space="preserve">Specification to the “Call Off Order Form”, </w:t>
            </w:r>
            <w:r>
              <w:rPr>
                <w:rFonts w:cs="Arial"/>
              </w:rPr>
              <w:t xml:space="preserve">or in the </w:t>
            </w:r>
            <w:r w:rsidRPr="00610F81">
              <w:rPr>
                <w:rFonts w:cs="Arial"/>
              </w:rPr>
              <w:t>“Call Off Order Form”</w:t>
            </w:r>
            <w:r>
              <w:rPr>
                <w:rFonts w:cs="Arial"/>
              </w:rPr>
              <w:t xml:space="preserve">, </w:t>
            </w:r>
            <w:r w:rsidRPr="00610F81">
              <w:rPr>
                <w:rFonts w:cs="Arial"/>
              </w:rPr>
              <w:t>or in new Specifications” that may be agreed by the Parties from time to time;</w:t>
            </w:r>
          </w:p>
        </w:tc>
      </w:tr>
      <w:tr w:rsidR="00075719" w:rsidRPr="00B27E3E" w14:paraId="35A5155B" w14:textId="77777777" w:rsidTr="001E4F48">
        <w:tc>
          <w:tcPr>
            <w:tcW w:w="2353" w:type="dxa"/>
          </w:tcPr>
          <w:p w14:paraId="39B47E24" w14:textId="77777777" w:rsidR="00075719" w:rsidRPr="004D07FE" w:rsidRDefault="00075719" w:rsidP="00413CE4">
            <w:pPr>
              <w:pStyle w:val="TCTableHeading"/>
              <w:rPr>
                <w:color w:val="000000" w:themeColor="text1"/>
              </w:rPr>
            </w:pPr>
            <w:r>
              <w:rPr>
                <w:color w:val="000000" w:themeColor="text1"/>
              </w:rPr>
              <w:t>“Publisher”</w:t>
            </w:r>
          </w:p>
        </w:tc>
        <w:tc>
          <w:tcPr>
            <w:tcW w:w="5943" w:type="dxa"/>
          </w:tcPr>
          <w:p w14:paraId="5C57F6D4" w14:textId="77777777" w:rsidR="00075719" w:rsidRPr="004D07FE" w:rsidRDefault="00075719" w:rsidP="00413CE4">
            <w:pPr>
              <w:pStyle w:val="TCTable"/>
              <w:rPr>
                <w:color w:val="000000" w:themeColor="text1"/>
              </w:rPr>
            </w:pPr>
            <w:r w:rsidRPr="002B4F6F">
              <w:rPr>
                <w:color w:val="000000" w:themeColor="text1"/>
              </w:rPr>
              <w:t>means, an entity which owns the intellectual property rights (IPR) to the Licensed Materials and / or Goods;</w:t>
            </w:r>
          </w:p>
        </w:tc>
      </w:tr>
      <w:tr w:rsidR="00075719" w:rsidRPr="00B27E3E" w14:paraId="2AECB62F" w14:textId="77777777" w:rsidTr="001E4F48">
        <w:tc>
          <w:tcPr>
            <w:tcW w:w="2353" w:type="dxa"/>
          </w:tcPr>
          <w:p w14:paraId="193124F2" w14:textId="77777777" w:rsidR="00075719" w:rsidRPr="00940820" w:rsidRDefault="00075719" w:rsidP="00413CE4">
            <w:pPr>
              <w:pStyle w:val="TCTableHeading"/>
              <w:rPr>
                <w:color w:val="000000" w:themeColor="text1"/>
              </w:rPr>
            </w:pPr>
            <w:r w:rsidRPr="00940820">
              <w:rPr>
                <w:color w:val="000000" w:themeColor="text1"/>
              </w:rPr>
              <w:lastRenderedPageBreak/>
              <w:t>“Service”</w:t>
            </w:r>
          </w:p>
        </w:tc>
        <w:tc>
          <w:tcPr>
            <w:tcW w:w="5943" w:type="dxa"/>
          </w:tcPr>
          <w:p w14:paraId="0D630613" w14:textId="77777777" w:rsidR="00075719" w:rsidRPr="00940820" w:rsidRDefault="00075719" w:rsidP="00413CE4">
            <w:pPr>
              <w:pStyle w:val="TCTable"/>
              <w:rPr>
                <w:color w:val="000000" w:themeColor="text1"/>
              </w:rPr>
            </w:pPr>
            <w:r w:rsidRPr="00940820">
              <w:rPr>
                <w:rFonts w:cs="Arial"/>
                <w:color w:val="000000" w:themeColor="text1"/>
              </w:rPr>
              <w:t>means the Licensed Materials and the Provider’s Service</w:t>
            </w:r>
            <w:r>
              <w:rPr>
                <w:rFonts w:cs="Arial"/>
                <w:color w:val="000000" w:themeColor="text1"/>
              </w:rPr>
              <w:t>,</w:t>
            </w:r>
            <w:r w:rsidRPr="00940820">
              <w:rPr>
                <w:rFonts w:cs="Arial"/>
                <w:color w:val="000000" w:themeColor="text1"/>
              </w:rPr>
              <w:t xml:space="preserve"> pursuant to and in accordance with the Agreement, as detailed in </w:t>
            </w:r>
            <w:r>
              <w:rPr>
                <w:rFonts w:cs="Arial"/>
                <w:color w:val="000000" w:themeColor="text1"/>
              </w:rPr>
              <w:t>Annex ONE:</w:t>
            </w:r>
            <w:r w:rsidRPr="00B27E3E">
              <w:rPr>
                <w:rFonts w:cs="Arial"/>
                <w:color w:val="000000" w:themeColor="text1"/>
              </w:rPr>
              <w:t xml:space="preserve"> Specification</w:t>
            </w:r>
            <w:r>
              <w:rPr>
                <w:rFonts w:cs="Arial"/>
                <w:color w:val="000000" w:themeColor="text1"/>
              </w:rPr>
              <w:t xml:space="preserve"> to the “Call Off Order Form</w:t>
            </w:r>
            <w:r w:rsidRPr="00940820">
              <w:rPr>
                <w:rFonts w:cs="Arial"/>
                <w:color w:val="000000" w:themeColor="text1"/>
              </w:rPr>
              <w:t xml:space="preserve">; </w:t>
            </w:r>
          </w:p>
        </w:tc>
      </w:tr>
      <w:tr w:rsidR="00075719" w:rsidRPr="00B27E3E" w14:paraId="0FAA1C25" w14:textId="77777777" w:rsidTr="001E4F48">
        <w:tc>
          <w:tcPr>
            <w:tcW w:w="2353" w:type="dxa"/>
          </w:tcPr>
          <w:p w14:paraId="5615F427" w14:textId="77777777" w:rsidR="00075719" w:rsidRPr="002C11A9" w:rsidRDefault="00075719" w:rsidP="00413CE4">
            <w:pPr>
              <w:pStyle w:val="TCTableHeading"/>
              <w:rPr>
                <w:color w:val="000000" w:themeColor="text1"/>
              </w:rPr>
            </w:pPr>
            <w:r w:rsidRPr="002C11A9">
              <w:rPr>
                <w:color w:val="000000" w:themeColor="text1"/>
              </w:rPr>
              <w:t xml:space="preserve">“SLA” </w:t>
            </w:r>
          </w:p>
        </w:tc>
        <w:tc>
          <w:tcPr>
            <w:tcW w:w="5943" w:type="dxa"/>
          </w:tcPr>
          <w:p w14:paraId="23445629" w14:textId="77777777" w:rsidR="00075719" w:rsidRPr="002C11A9" w:rsidRDefault="00075719" w:rsidP="00413CE4">
            <w:pPr>
              <w:pStyle w:val="TCTable"/>
              <w:rPr>
                <w:color w:val="000000" w:themeColor="text1"/>
              </w:rPr>
            </w:pPr>
            <w:r w:rsidRPr="002C11A9">
              <w:rPr>
                <w:color w:val="000000" w:themeColor="text1"/>
              </w:rPr>
              <w:t xml:space="preserve">means, Service Level Agreement(s), a formal negotiated agreement between two Parties that sits </w:t>
            </w:r>
            <w:r w:rsidRPr="00B27E3E">
              <w:rPr>
                <w:rFonts w:cs="Arial"/>
                <w:color w:val="000000" w:themeColor="text1"/>
              </w:rPr>
              <w:t xml:space="preserve">within this </w:t>
            </w:r>
            <w:r>
              <w:rPr>
                <w:rFonts w:cs="Arial"/>
                <w:color w:val="000000" w:themeColor="text1"/>
              </w:rPr>
              <w:t xml:space="preserve">Agent Agreement </w:t>
            </w:r>
            <w:r w:rsidRPr="002C11A9">
              <w:rPr>
                <w:color w:val="000000" w:themeColor="text1"/>
              </w:rPr>
              <w:t xml:space="preserve">that records the common understanding about the </w:t>
            </w:r>
            <w:r>
              <w:rPr>
                <w:color w:val="000000" w:themeColor="text1"/>
              </w:rPr>
              <w:t xml:space="preserve">Core </w:t>
            </w:r>
            <w:r w:rsidRPr="002C11A9">
              <w:rPr>
                <w:color w:val="000000" w:themeColor="text1"/>
              </w:rPr>
              <w:t xml:space="preserve">Service </w:t>
            </w:r>
            <w:r>
              <w:rPr>
                <w:color w:val="000000" w:themeColor="text1"/>
              </w:rPr>
              <w:t xml:space="preserve">Standards </w:t>
            </w:r>
            <w:r w:rsidRPr="002C11A9">
              <w:rPr>
                <w:color w:val="000000" w:themeColor="text1"/>
              </w:rPr>
              <w:t xml:space="preserve">or Service objectives which the Provider is required to achieve in the performance of the </w:t>
            </w:r>
            <w:r>
              <w:rPr>
                <w:color w:val="000000" w:themeColor="text1"/>
              </w:rPr>
              <w:t>Agent Agreement</w:t>
            </w:r>
            <w:r w:rsidRPr="00BE4F51">
              <w:rPr>
                <w:color w:val="000000" w:themeColor="text1"/>
              </w:rPr>
              <w:t xml:space="preserve"> details of which are </w:t>
            </w:r>
            <w:r w:rsidRPr="00AA71E4">
              <w:rPr>
                <w:color w:val="000000" w:themeColor="text1"/>
              </w:rPr>
              <w:t xml:space="preserve">contained </w:t>
            </w:r>
            <w:r w:rsidRPr="00166C8C">
              <w:rPr>
                <w:color w:val="000000" w:themeColor="text1"/>
              </w:rPr>
              <w:t xml:space="preserve">in </w:t>
            </w:r>
            <w:r w:rsidRPr="007E55DD">
              <w:rPr>
                <w:rFonts w:cs="Arial"/>
                <w:iCs/>
                <w:color w:val="000000" w:themeColor="text1"/>
              </w:rPr>
              <w:t>clauses 9: Core Service Standards</w:t>
            </w:r>
            <w:r w:rsidRPr="00AA71E4">
              <w:rPr>
                <w:rFonts w:cs="Arial"/>
                <w:color w:val="000000" w:themeColor="text1"/>
              </w:rPr>
              <w:t>;</w:t>
            </w:r>
          </w:p>
        </w:tc>
      </w:tr>
      <w:tr w:rsidR="00075719" w:rsidRPr="00E26E50" w14:paraId="683B0311" w14:textId="77777777" w:rsidTr="001E4F48">
        <w:tc>
          <w:tcPr>
            <w:tcW w:w="2353" w:type="dxa"/>
          </w:tcPr>
          <w:p w14:paraId="0C06623B" w14:textId="77777777" w:rsidR="00075719" w:rsidRPr="00610F81" w:rsidRDefault="00075719" w:rsidP="00413CE4">
            <w:pPr>
              <w:pStyle w:val="TCTableHeading"/>
              <w:rPr>
                <w:color w:val="000000" w:themeColor="text1"/>
              </w:rPr>
            </w:pPr>
            <w:r w:rsidRPr="00610F81">
              <w:rPr>
                <w:color w:val="000000" w:themeColor="text1"/>
              </w:rPr>
              <w:t>"Term"</w:t>
            </w:r>
          </w:p>
        </w:tc>
        <w:tc>
          <w:tcPr>
            <w:tcW w:w="5943" w:type="dxa"/>
          </w:tcPr>
          <w:p w14:paraId="6BF31A0B" w14:textId="77777777" w:rsidR="00075719" w:rsidRPr="00610F81" w:rsidRDefault="00075719" w:rsidP="00413CE4">
            <w:pPr>
              <w:pStyle w:val="TCTable"/>
            </w:pPr>
            <w:r w:rsidRPr="00610F81">
              <w:t>means (subject to earlier termination in accordance with its terms or by operation of law) the duration of the Agreement, starting on the Commencement Date, as set out in the “</w:t>
            </w:r>
            <w:r>
              <w:t xml:space="preserve">Call Off </w:t>
            </w:r>
            <w:r w:rsidRPr="00610F81">
              <w:t>Order Form”;</w:t>
            </w:r>
          </w:p>
        </w:tc>
      </w:tr>
      <w:tr w:rsidR="00075719" w:rsidRPr="00B27E3E" w14:paraId="2C7B9D4F" w14:textId="77777777" w:rsidTr="001E4F48">
        <w:tc>
          <w:tcPr>
            <w:tcW w:w="2353" w:type="dxa"/>
          </w:tcPr>
          <w:p w14:paraId="3AF192BF" w14:textId="77777777" w:rsidR="00075719" w:rsidRPr="004D07FE" w:rsidRDefault="00075719" w:rsidP="00413CE4">
            <w:pPr>
              <w:pStyle w:val="TCTableHeading"/>
              <w:rPr>
                <w:color w:val="000000" w:themeColor="text1"/>
              </w:rPr>
            </w:pPr>
            <w:r>
              <w:rPr>
                <w:color w:val="000000" w:themeColor="text1"/>
              </w:rPr>
              <w:t>“</w:t>
            </w:r>
            <w:r w:rsidRPr="003F2C26">
              <w:rPr>
                <w:color w:val="000000" w:themeColor="text1"/>
              </w:rPr>
              <w:t>Third Party Systems</w:t>
            </w:r>
            <w:r>
              <w:rPr>
                <w:color w:val="000000" w:themeColor="text1"/>
              </w:rPr>
              <w:t>”</w:t>
            </w:r>
          </w:p>
        </w:tc>
        <w:tc>
          <w:tcPr>
            <w:tcW w:w="5943" w:type="dxa"/>
          </w:tcPr>
          <w:p w14:paraId="60976E9E" w14:textId="77777777" w:rsidR="00075719" w:rsidRPr="004D07FE" w:rsidRDefault="00075719" w:rsidP="00413CE4">
            <w:pPr>
              <w:pStyle w:val="TCTable"/>
              <w:rPr>
                <w:color w:val="000000" w:themeColor="text1"/>
              </w:rPr>
            </w:pPr>
            <w:r w:rsidRPr="006E511A">
              <w:t xml:space="preserve">means, </w:t>
            </w:r>
            <w:r w:rsidRPr="00236779">
              <w:t xml:space="preserve">online services utilised by Authorised Users to </w:t>
            </w:r>
            <w:r w:rsidRPr="00D93002">
              <w:t xml:space="preserve">signpost </w:t>
            </w:r>
            <w:r>
              <w:t xml:space="preserve">users to </w:t>
            </w:r>
            <w:r w:rsidRPr="00D93002">
              <w:t>the Licensed</w:t>
            </w:r>
            <w:r w:rsidRPr="00236779">
              <w:t xml:space="preserve"> Materials</w:t>
            </w:r>
            <w:r>
              <w:t xml:space="preserve"> for example, Google Scholar, PubMed, library management systems, reference management software, point of care and decision support tools, Resource Discovery Systems;</w:t>
            </w:r>
          </w:p>
        </w:tc>
      </w:tr>
    </w:tbl>
    <w:p w14:paraId="6773CA0C" w14:textId="54763618" w:rsidR="00075719" w:rsidRDefault="00075719" w:rsidP="00C6336F">
      <w:pPr>
        <w:pStyle w:val="Style1"/>
        <w:numPr>
          <w:ilvl w:val="0"/>
          <w:numId w:val="0"/>
        </w:numPr>
        <w:ind w:left="360"/>
      </w:pPr>
      <w:r>
        <w:br/>
      </w:r>
    </w:p>
    <w:p w14:paraId="4E64355B" w14:textId="7DF8485C" w:rsidR="00F135A1" w:rsidRPr="001E4F48" w:rsidRDefault="00F135A1" w:rsidP="00C6336F">
      <w:pPr>
        <w:pStyle w:val="Heading1"/>
      </w:pPr>
      <w:bookmarkStart w:id="12" w:name="_Toc75870253"/>
      <w:r w:rsidRPr="001E4F48">
        <w:t>Agent contact details</w:t>
      </w:r>
      <w:bookmarkEnd w:id="12"/>
    </w:p>
    <w:p w14:paraId="29B0734B" w14:textId="77777777" w:rsidR="00075719" w:rsidRPr="00075719" w:rsidRDefault="00075719" w:rsidP="00075719">
      <w:pPr>
        <w:pStyle w:val="Paragraphnonumbers"/>
        <w:spacing w:after="0" w:line="240" w:lineRule="auto"/>
        <w:ind w:left="1418"/>
      </w:pPr>
      <w:r w:rsidRPr="00075719">
        <w:t xml:space="preserve">Name: </w:t>
      </w:r>
    </w:p>
    <w:p w14:paraId="7143CCD9" w14:textId="77777777" w:rsidR="00075719" w:rsidRPr="00075719" w:rsidRDefault="00075719" w:rsidP="00075719">
      <w:pPr>
        <w:pStyle w:val="Paragraphnonumbers"/>
        <w:spacing w:after="0" w:line="240" w:lineRule="auto"/>
        <w:ind w:left="851"/>
      </w:pPr>
      <w:r w:rsidRPr="00075719">
        <w:tab/>
        <w:t xml:space="preserve">Job Title: </w:t>
      </w:r>
    </w:p>
    <w:p w14:paraId="5116A169" w14:textId="77777777" w:rsidR="00075719" w:rsidRPr="00075719" w:rsidRDefault="00075719" w:rsidP="00075719">
      <w:pPr>
        <w:pStyle w:val="Paragraphnonumbers"/>
        <w:spacing w:after="0" w:line="240" w:lineRule="auto"/>
        <w:ind w:left="851"/>
      </w:pPr>
      <w:r w:rsidRPr="00075719">
        <w:tab/>
        <w:t xml:space="preserve">Address: </w:t>
      </w:r>
    </w:p>
    <w:p w14:paraId="6C3B074B" w14:textId="77777777" w:rsidR="00075719" w:rsidRPr="00075719" w:rsidRDefault="00075719" w:rsidP="00075719">
      <w:pPr>
        <w:pStyle w:val="Paragraphnonumbers"/>
        <w:spacing w:after="0" w:line="240" w:lineRule="auto"/>
        <w:ind w:left="851"/>
      </w:pPr>
      <w:r w:rsidRPr="00075719">
        <w:tab/>
        <w:t xml:space="preserve">Telephone: </w:t>
      </w:r>
    </w:p>
    <w:p w14:paraId="2F93B365" w14:textId="77777777" w:rsidR="00075719" w:rsidRPr="00075719" w:rsidRDefault="00075719" w:rsidP="00075719">
      <w:pPr>
        <w:pStyle w:val="Paragraphnonumbers"/>
        <w:spacing w:after="0" w:line="240" w:lineRule="auto"/>
        <w:ind w:left="851"/>
      </w:pPr>
      <w:r w:rsidRPr="00075719">
        <w:tab/>
        <w:t xml:space="preserve">Facsimile: </w:t>
      </w:r>
    </w:p>
    <w:p w14:paraId="2FA49F6E" w14:textId="184000CA" w:rsidR="00075719" w:rsidRDefault="00075719" w:rsidP="00075719">
      <w:pPr>
        <w:pStyle w:val="Paragraphnonumbers"/>
        <w:spacing w:after="0" w:line="240" w:lineRule="auto"/>
        <w:ind w:left="851"/>
      </w:pPr>
      <w:r w:rsidRPr="00075719">
        <w:tab/>
        <w:t>Email:</w:t>
      </w:r>
    </w:p>
    <w:p w14:paraId="31090768" w14:textId="61A3065C" w:rsidR="00F135A1" w:rsidRPr="001E4F48" w:rsidRDefault="00F135A1" w:rsidP="00C6336F">
      <w:pPr>
        <w:pStyle w:val="Heading1"/>
      </w:pPr>
      <w:bookmarkStart w:id="13" w:name="_Toc75870254"/>
      <w:r w:rsidRPr="001E4F48">
        <w:t>Service availability</w:t>
      </w:r>
      <w:bookmarkEnd w:id="13"/>
    </w:p>
    <w:p w14:paraId="47A8CA99" w14:textId="550C2788" w:rsidR="00F135A1" w:rsidRPr="001E4F48" w:rsidRDefault="00F135A1" w:rsidP="00C6336F">
      <w:pPr>
        <w:pStyle w:val="Heading1"/>
      </w:pPr>
      <w:bookmarkStart w:id="14" w:name="_Toc75870255"/>
      <w:r w:rsidRPr="001E4F48">
        <w:t>User support</w:t>
      </w:r>
      <w:bookmarkEnd w:id="14"/>
    </w:p>
    <w:p w14:paraId="726191F6" w14:textId="2B5F009A" w:rsidR="00F135A1" w:rsidRPr="001E4F48" w:rsidRDefault="00F135A1" w:rsidP="00C6336F">
      <w:pPr>
        <w:pStyle w:val="Heading1"/>
      </w:pPr>
      <w:bookmarkStart w:id="15" w:name="_Toc75870256"/>
      <w:r w:rsidRPr="001E4F48">
        <w:t>Service notifications</w:t>
      </w:r>
      <w:bookmarkEnd w:id="15"/>
    </w:p>
    <w:p w14:paraId="7E9E1052" w14:textId="1E55735E" w:rsidR="00F135A1" w:rsidRPr="001E4F48" w:rsidRDefault="00F135A1" w:rsidP="00C6336F">
      <w:pPr>
        <w:pStyle w:val="Heading1"/>
      </w:pPr>
      <w:bookmarkStart w:id="16" w:name="_Toc75870257"/>
      <w:r w:rsidRPr="001E4F48">
        <w:t>Service reporting</w:t>
      </w:r>
      <w:bookmarkEnd w:id="16"/>
    </w:p>
    <w:p w14:paraId="2F76614E" w14:textId="5555333E" w:rsidR="00F135A1" w:rsidRPr="001E4F48" w:rsidRDefault="00F135A1" w:rsidP="00C6336F">
      <w:pPr>
        <w:pStyle w:val="Heading1"/>
      </w:pPr>
      <w:bookmarkStart w:id="17" w:name="_Toc75870258"/>
      <w:r w:rsidRPr="001E4F48">
        <w:t>Measurement and related payment</w:t>
      </w:r>
      <w:bookmarkEnd w:id="17"/>
    </w:p>
    <w:p w14:paraId="3CF57B8C" w14:textId="13DAF848" w:rsidR="00F135A1" w:rsidRDefault="00F135A1" w:rsidP="00C6336F">
      <w:pPr>
        <w:pStyle w:val="Heading1"/>
      </w:pPr>
      <w:bookmarkStart w:id="18" w:name="_Toc75870259"/>
      <w:r w:rsidRPr="001E4F48">
        <w:t>Core service standards</w:t>
      </w:r>
      <w:bookmarkEnd w:id="18"/>
    </w:p>
    <w:p w14:paraId="71744818" w14:textId="57DB72BE" w:rsidR="001E4F48" w:rsidRPr="00D264B4" w:rsidRDefault="00B161FE" w:rsidP="00B161FE">
      <w:pPr>
        <w:pStyle w:val="Paragraphnonumbers"/>
        <w:ind w:left="993" w:hanging="426"/>
      </w:pPr>
      <w:r>
        <w:rPr>
          <w:lang w:eastAsia="en-US"/>
        </w:rPr>
        <w:lastRenderedPageBreak/>
        <w:t>9.1</w:t>
      </w:r>
      <w:r>
        <w:rPr>
          <w:lang w:eastAsia="en-US"/>
        </w:rPr>
        <w:tab/>
      </w:r>
      <w:r w:rsidR="001E4F48" w:rsidRPr="00CA3559">
        <w:t>The Core Service Standards required in this Agent Agreement are set out in this section 9: Core Service Standards.  The expected core service requirements for each Standard and associated target, service levels (SLAs) and performance thresholds (KPIs) are also detailed</w:t>
      </w:r>
    </w:p>
    <w:p w14:paraId="431A9300" w14:textId="77777777" w:rsidR="001E4F48" w:rsidRDefault="001E4F48" w:rsidP="001E4F48">
      <w:pPr>
        <w:pStyle w:val="TCBodyafterH1"/>
        <w:sectPr w:rsidR="001E4F48" w:rsidSect="0017149E">
          <w:footerReference w:type="default" r:id="rId8"/>
          <w:pgSz w:w="11906" w:h="16838"/>
          <w:pgMar w:top="1440" w:right="1440" w:bottom="1440" w:left="1440" w:header="708" w:footer="708" w:gutter="0"/>
          <w:cols w:space="708"/>
          <w:docGrid w:linePitch="360"/>
        </w:sectPr>
      </w:pPr>
    </w:p>
    <w:p w14:paraId="589F1B92" w14:textId="794DEDD2" w:rsidR="001E4F48" w:rsidRDefault="00C21B07" w:rsidP="00C21B07">
      <w:pPr>
        <w:pStyle w:val="TCBodyafterH1"/>
        <w:numPr>
          <w:ilvl w:val="1"/>
          <w:numId w:val="29"/>
        </w:numPr>
      </w:pPr>
      <w:r>
        <w:lastRenderedPageBreak/>
        <w:t xml:space="preserve">      </w:t>
      </w:r>
      <w:r w:rsidR="001E4F48">
        <w:t>Core Service Standard: Service Availability</w:t>
      </w:r>
    </w:p>
    <w:tbl>
      <w:tblPr>
        <w:tblStyle w:val="TableGrid"/>
        <w:tblW w:w="15168" w:type="dxa"/>
        <w:tblInd w:w="-998" w:type="dxa"/>
        <w:tblLook w:val="04A0" w:firstRow="1" w:lastRow="0" w:firstColumn="1" w:lastColumn="0" w:noHBand="0" w:noVBand="1"/>
      </w:tblPr>
      <w:tblGrid>
        <w:gridCol w:w="4121"/>
        <w:gridCol w:w="1417"/>
        <w:gridCol w:w="5902"/>
        <w:gridCol w:w="1324"/>
        <w:gridCol w:w="2404"/>
      </w:tblGrid>
      <w:tr w:rsidR="001E4F48" w:rsidRPr="00386569" w14:paraId="3230BA90" w14:textId="77777777" w:rsidTr="00413CE4">
        <w:trPr>
          <w:tblHeader/>
        </w:trPr>
        <w:tc>
          <w:tcPr>
            <w:tcW w:w="4121" w:type="dxa"/>
            <w:shd w:val="clear" w:color="auto" w:fill="DAEEF3" w:themeFill="accent5" w:themeFillTint="33"/>
            <w:hideMark/>
          </w:tcPr>
          <w:p w14:paraId="6AF192A4" w14:textId="77777777" w:rsidR="001E4F48" w:rsidRPr="00074609" w:rsidRDefault="001E4F48" w:rsidP="00413CE4">
            <w:pPr>
              <w:pStyle w:val="Paragraphnonumbers"/>
              <w:spacing w:after="0"/>
              <w:jc w:val="center"/>
              <w:rPr>
                <w:bCs/>
              </w:rPr>
            </w:pPr>
            <w:bookmarkStart w:id="19" w:name="_Hlk57746335"/>
            <w:r w:rsidRPr="00C8739A">
              <w:rPr>
                <w:b/>
                <w:bCs/>
              </w:rPr>
              <w:t>Core Service Standard</w:t>
            </w:r>
            <w:bookmarkEnd w:id="19"/>
            <w:r w:rsidRPr="009F28C0">
              <w:rPr>
                <w:b/>
                <w:bCs/>
              </w:rPr>
              <w:t xml:space="preserve"> Requirement</w:t>
            </w:r>
          </w:p>
        </w:tc>
        <w:tc>
          <w:tcPr>
            <w:tcW w:w="1417" w:type="dxa"/>
            <w:shd w:val="clear" w:color="auto" w:fill="DAEEF3" w:themeFill="accent5" w:themeFillTint="33"/>
            <w:hideMark/>
          </w:tcPr>
          <w:p w14:paraId="50939F47" w14:textId="77777777" w:rsidR="001E4F48" w:rsidRPr="00074609" w:rsidRDefault="001E4F48" w:rsidP="00413CE4">
            <w:pPr>
              <w:pStyle w:val="Paragraphnonumbers"/>
              <w:spacing w:after="0"/>
              <w:jc w:val="center"/>
              <w:rPr>
                <w:bCs/>
              </w:rPr>
            </w:pPr>
            <w:r w:rsidRPr="009F28C0">
              <w:rPr>
                <w:b/>
                <w:bCs/>
              </w:rPr>
              <w:t>Essential / Desirable</w:t>
            </w:r>
          </w:p>
        </w:tc>
        <w:tc>
          <w:tcPr>
            <w:tcW w:w="5902" w:type="dxa"/>
            <w:shd w:val="clear" w:color="auto" w:fill="DAEEF3" w:themeFill="accent5" w:themeFillTint="33"/>
            <w:hideMark/>
          </w:tcPr>
          <w:p w14:paraId="4A5250D1" w14:textId="77777777" w:rsidR="001E4F48" w:rsidRPr="00074609" w:rsidRDefault="001E4F48" w:rsidP="00413CE4">
            <w:pPr>
              <w:pStyle w:val="Paragraphnonumbers"/>
              <w:spacing w:after="0"/>
              <w:jc w:val="center"/>
              <w:rPr>
                <w:bCs/>
              </w:rPr>
            </w:pPr>
            <w:r w:rsidRPr="009F28C0">
              <w:rPr>
                <w:b/>
                <w:bCs/>
              </w:rPr>
              <w:t>Target</w:t>
            </w:r>
          </w:p>
        </w:tc>
        <w:tc>
          <w:tcPr>
            <w:tcW w:w="1324" w:type="dxa"/>
            <w:shd w:val="clear" w:color="auto" w:fill="DAEEF3" w:themeFill="accent5" w:themeFillTint="33"/>
            <w:hideMark/>
          </w:tcPr>
          <w:p w14:paraId="52F33C97" w14:textId="77777777" w:rsidR="001E4F48" w:rsidRPr="00074609" w:rsidRDefault="001E4F48" w:rsidP="00413CE4">
            <w:pPr>
              <w:pStyle w:val="Paragraphnonumbers"/>
              <w:spacing w:after="0"/>
              <w:jc w:val="center"/>
              <w:rPr>
                <w:bCs/>
              </w:rPr>
            </w:pPr>
            <w:r w:rsidRPr="009F28C0">
              <w:rPr>
                <w:b/>
                <w:bCs/>
              </w:rPr>
              <w:t xml:space="preserve">Applies </w:t>
            </w:r>
            <w:r>
              <w:rPr>
                <w:b/>
                <w:bCs/>
              </w:rPr>
              <w:t>T</w:t>
            </w:r>
            <w:r w:rsidRPr="009F28C0">
              <w:rPr>
                <w:b/>
                <w:bCs/>
              </w:rPr>
              <w:t>o</w:t>
            </w:r>
          </w:p>
        </w:tc>
        <w:tc>
          <w:tcPr>
            <w:tcW w:w="2404" w:type="dxa"/>
            <w:shd w:val="clear" w:color="auto" w:fill="DAEEF3" w:themeFill="accent5" w:themeFillTint="33"/>
          </w:tcPr>
          <w:p w14:paraId="58683E74" w14:textId="77777777" w:rsidR="001E4F48" w:rsidRPr="00386569" w:rsidRDefault="001E4F48" w:rsidP="00413CE4">
            <w:pPr>
              <w:pStyle w:val="Paragraphnonumbers"/>
              <w:spacing w:after="0"/>
              <w:jc w:val="center"/>
              <w:rPr>
                <w:b/>
                <w:bCs/>
              </w:rPr>
            </w:pPr>
            <w:r w:rsidRPr="00480FB6">
              <w:rPr>
                <w:rFonts w:cs="Arial"/>
                <w:b/>
                <w:bCs/>
              </w:rPr>
              <w:t>Key Performance Indicator (KPI</w:t>
            </w:r>
            <w:r>
              <w:rPr>
                <w:rFonts w:cs="Arial"/>
                <w:b/>
                <w:bCs/>
              </w:rPr>
              <w:t>)</w:t>
            </w:r>
          </w:p>
        </w:tc>
      </w:tr>
      <w:tr w:rsidR="001E4F48" w:rsidRPr="00386569" w14:paraId="62929A8A" w14:textId="77777777" w:rsidTr="00413CE4">
        <w:trPr>
          <w:trHeight w:val="1200"/>
          <w:tblHeader/>
        </w:trPr>
        <w:tc>
          <w:tcPr>
            <w:tcW w:w="4121" w:type="dxa"/>
            <w:hideMark/>
          </w:tcPr>
          <w:p w14:paraId="1271F8A9" w14:textId="77777777" w:rsidR="001E4F48" w:rsidRPr="00386569" w:rsidRDefault="001E4F48" w:rsidP="00413CE4">
            <w:pPr>
              <w:pStyle w:val="Paragraphnonumbers"/>
              <w:spacing w:after="0"/>
            </w:pPr>
            <w:r w:rsidRPr="00386569">
              <w:t>Provides a point of contact for response to Incidents.</w:t>
            </w:r>
          </w:p>
        </w:tc>
        <w:tc>
          <w:tcPr>
            <w:tcW w:w="1417" w:type="dxa"/>
            <w:hideMark/>
          </w:tcPr>
          <w:p w14:paraId="395D36C6" w14:textId="77777777" w:rsidR="001E4F48" w:rsidRPr="00386569" w:rsidRDefault="001E4F48" w:rsidP="00413CE4">
            <w:pPr>
              <w:pStyle w:val="Paragraphnonumbers"/>
              <w:spacing w:after="0"/>
            </w:pPr>
            <w:r w:rsidRPr="00386569">
              <w:t xml:space="preserve">Essential  </w:t>
            </w:r>
          </w:p>
        </w:tc>
        <w:tc>
          <w:tcPr>
            <w:tcW w:w="5902" w:type="dxa"/>
            <w:hideMark/>
          </w:tcPr>
          <w:p w14:paraId="480B196E" w14:textId="77777777" w:rsidR="001E4F48" w:rsidRPr="00386569" w:rsidRDefault="001E4F48" w:rsidP="00413CE4">
            <w:pPr>
              <w:pStyle w:val="Paragraphnonumbers"/>
              <w:spacing w:after="0"/>
            </w:pPr>
            <w:r w:rsidRPr="00386569">
              <w:t>Provides a named contact and chain of command for response to Incidents, including details of relevant contacts, including helpdesk and technical personnel.</w:t>
            </w:r>
          </w:p>
        </w:tc>
        <w:tc>
          <w:tcPr>
            <w:tcW w:w="1324" w:type="dxa"/>
            <w:hideMark/>
          </w:tcPr>
          <w:p w14:paraId="6CDB6015" w14:textId="77777777" w:rsidR="001E4F48" w:rsidRPr="00386569" w:rsidRDefault="001E4F48" w:rsidP="00413CE4">
            <w:pPr>
              <w:pStyle w:val="Paragraphnonumbers"/>
              <w:spacing w:after="0"/>
            </w:pPr>
            <w:r w:rsidRPr="00386569">
              <w:t>All electronic content</w:t>
            </w:r>
          </w:p>
        </w:tc>
        <w:tc>
          <w:tcPr>
            <w:tcW w:w="2404" w:type="dxa"/>
          </w:tcPr>
          <w:p w14:paraId="3701FEA4" w14:textId="77777777" w:rsidR="001E4F48" w:rsidRPr="00386569" w:rsidRDefault="001E4F48" w:rsidP="00413CE4">
            <w:pPr>
              <w:pStyle w:val="Paragraphnonumbers"/>
              <w:spacing w:after="0"/>
            </w:pPr>
            <w:r w:rsidRPr="008277D5">
              <w:rPr>
                <w:rFonts w:cs="Arial"/>
              </w:rPr>
              <w:t>100% compliance</w:t>
            </w:r>
          </w:p>
        </w:tc>
      </w:tr>
      <w:tr w:rsidR="001E4F48" w:rsidRPr="00386569" w14:paraId="599E2A49" w14:textId="77777777" w:rsidTr="00413CE4">
        <w:trPr>
          <w:trHeight w:val="900"/>
          <w:tblHeader/>
        </w:trPr>
        <w:tc>
          <w:tcPr>
            <w:tcW w:w="4121" w:type="dxa"/>
            <w:hideMark/>
          </w:tcPr>
          <w:p w14:paraId="2D3F8C7B" w14:textId="77777777" w:rsidR="001E4F48" w:rsidRPr="00386569" w:rsidRDefault="001E4F48" w:rsidP="00413CE4">
            <w:pPr>
              <w:pStyle w:val="Paragraphnonumbers"/>
              <w:spacing w:after="0"/>
            </w:pPr>
            <w:r w:rsidRPr="00386569">
              <w:t>Provides notification of an Incident.</w:t>
            </w:r>
          </w:p>
        </w:tc>
        <w:tc>
          <w:tcPr>
            <w:tcW w:w="1417" w:type="dxa"/>
            <w:hideMark/>
          </w:tcPr>
          <w:p w14:paraId="79FD172F" w14:textId="77777777" w:rsidR="001E4F48" w:rsidRPr="00386569" w:rsidRDefault="001E4F48" w:rsidP="00413CE4">
            <w:pPr>
              <w:pStyle w:val="Paragraphnonumbers"/>
              <w:spacing w:after="0"/>
            </w:pPr>
            <w:r w:rsidRPr="00386569">
              <w:t xml:space="preserve">Essential  </w:t>
            </w:r>
          </w:p>
        </w:tc>
        <w:tc>
          <w:tcPr>
            <w:tcW w:w="5902" w:type="dxa"/>
            <w:hideMark/>
          </w:tcPr>
          <w:p w14:paraId="7D6F515E" w14:textId="77777777" w:rsidR="001E4F48" w:rsidRPr="00386569" w:rsidRDefault="001E4F48" w:rsidP="00413CE4">
            <w:pPr>
              <w:pStyle w:val="Paragraphnonumbers"/>
              <w:spacing w:after="0"/>
            </w:pPr>
            <w:r w:rsidRPr="00386569">
              <w:t>Within 02 hours of Incident occurring.</w:t>
            </w:r>
          </w:p>
        </w:tc>
        <w:tc>
          <w:tcPr>
            <w:tcW w:w="1324" w:type="dxa"/>
            <w:hideMark/>
          </w:tcPr>
          <w:p w14:paraId="3291878C" w14:textId="77777777" w:rsidR="001E4F48" w:rsidRPr="00386569" w:rsidRDefault="001E4F48" w:rsidP="00413CE4">
            <w:pPr>
              <w:pStyle w:val="Paragraphnonumbers"/>
              <w:spacing w:after="0"/>
            </w:pPr>
            <w:r w:rsidRPr="00386569">
              <w:t>All electronic content</w:t>
            </w:r>
          </w:p>
        </w:tc>
        <w:tc>
          <w:tcPr>
            <w:tcW w:w="2404" w:type="dxa"/>
          </w:tcPr>
          <w:p w14:paraId="1409DE34" w14:textId="77777777" w:rsidR="001E4F48" w:rsidRPr="00386569" w:rsidRDefault="001E4F48" w:rsidP="00413CE4">
            <w:pPr>
              <w:pStyle w:val="Paragraphnonumbers"/>
              <w:spacing w:after="0"/>
            </w:pPr>
            <w:r w:rsidRPr="008277D5">
              <w:rPr>
                <w:rFonts w:cs="Arial"/>
                <w:bCs/>
                <w:color w:val="000000" w:themeColor="text1"/>
              </w:rPr>
              <w:t>Within 02 working hours</w:t>
            </w:r>
          </w:p>
        </w:tc>
      </w:tr>
    </w:tbl>
    <w:p w14:paraId="23C9119B" w14:textId="77777777" w:rsidR="001E4F48" w:rsidRDefault="001E4F48" w:rsidP="001E4F48"/>
    <w:p w14:paraId="73B52E0A" w14:textId="5EBB9747" w:rsidR="001E4F48" w:rsidRDefault="00C21B07" w:rsidP="00C21B07">
      <w:pPr>
        <w:pStyle w:val="TCBodyafterH1"/>
        <w:numPr>
          <w:ilvl w:val="1"/>
          <w:numId w:val="29"/>
        </w:numPr>
      </w:pPr>
      <w:r>
        <w:t xml:space="preserve">     </w:t>
      </w:r>
      <w:r w:rsidR="001E4F48" w:rsidRPr="00785BE3">
        <w:t xml:space="preserve">Core Service Standard: </w:t>
      </w:r>
      <w:r w:rsidR="001E4F48" w:rsidRPr="00BD3616">
        <w:t>User support</w:t>
      </w:r>
      <w:r w:rsidR="001E4F48">
        <w:t>.</w:t>
      </w:r>
    </w:p>
    <w:tbl>
      <w:tblPr>
        <w:tblStyle w:val="TableGrid"/>
        <w:tblW w:w="15168" w:type="dxa"/>
        <w:tblInd w:w="-998" w:type="dxa"/>
        <w:tblLayout w:type="fixed"/>
        <w:tblLook w:val="04A0" w:firstRow="1" w:lastRow="0" w:firstColumn="1" w:lastColumn="0" w:noHBand="0" w:noVBand="1"/>
      </w:tblPr>
      <w:tblGrid>
        <w:gridCol w:w="4112"/>
        <w:gridCol w:w="1559"/>
        <w:gridCol w:w="5812"/>
        <w:gridCol w:w="1417"/>
        <w:gridCol w:w="2268"/>
      </w:tblGrid>
      <w:tr w:rsidR="001E4F48" w:rsidRPr="007E55DD" w14:paraId="3CF77E7C" w14:textId="77777777" w:rsidTr="00413CE4">
        <w:trPr>
          <w:tblHeader/>
        </w:trPr>
        <w:tc>
          <w:tcPr>
            <w:tcW w:w="4112" w:type="dxa"/>
            <w:shd w:val="clear" w:color="auto" w:fill="DAEEF3" w:themeFill="accent5" w:themeFillTint="33"/>
            <w:hideMark/>
          </w:tcPr>
          <w:p w14:paraId="21EED38B" w14:textId="77777777" w:rsidR="001E4F48" w:rsidRPr="007E55DD" w:rsidRDefault="001E4F48" w:rsidP="00413CE4">
            <w:pPr>
              <w:pStyle w:val="Paragraphnonumbers"/>
              <w:spacing w:after="0"/>
              <w:jc w:val="center"/>
              <w:rPr>
                <w:b/>
                <w:bCs/>
              </w:rPr>
            </w:pPr>
            <w:r w:rsidRPr="007E55DD">
              <w:rPr>
                <w:b/>
                <w:bCs/>
              </w:rPr>
              <w:t>Core Service Requirement</w:t>
            </w:r>
          </w:p>
        </w:tc>
        <w:tc>
          <w:tcPr>
            <w:tcW w:w="1559" w:type="dxa"/>
            <w:shd w:val="clear" w:color="auto" w:fill="DAEEF3" w:themeFill="accent5" w:themeFillTint="33"/>
            <w:hideMark/>
          </w:tcPr>
          <w:p w14:paraId="62364021" w14:textId="77777777" w:rsidR="001E4F48" w:rsidRPr="007E55DD" w:rsidRDefault="001E4F48" w:rsidP="00413CE4">
            <w:pPr>
              <w:pStyle w:val="Paragraphnonumbers"/>
              <w:spacing w:after="0"/>
              <w:jc w:val="center"/>
              <w:rPr>
                <w:b/>
                <w:bCs/>
              </w:rPr>
            </w:pPr>
            <w:r w:rsidRPr="007E55DD">
              <w:rPr>
                <w:b/>
                <w:bCs/>
              </w:rPr>
              <w:t>Essential / Desirable</w:t>
            </w:r>
          </w:p>
        </w:tc>
        <w:tc>
          <w:tcPr>
            <w:tcW w:w="5812" w:type="dxa"/>
            <w:shd w:val="clear" w:color="auto" w:fill="DAEEF3" w:themeFill="accent5" w:themeFillTint="33"/>
            <w:hideMark/>
          </w:tcPr>
          <w:p w14:paraId="56471A83" w14:textId="77777777" w:rsidR="001E4F48" w:rsidRPr="007E55DD" w:rsidRDefault="001E4F48" w:rsidP="00413CE4">
            <w:pPr>
              <w:pStyle w:val="Paragraphnonumbers"/>
              <w:spacing w:after="0"/>
              <w:jc w:val="center"/>
              <w:rPr>
                <w:b/>
                <w:bCs/>
              </w:rPr>
            </w:pPr>
            <w:r w:rsidRPr="007E55DD">
              <w:rPr>
                <w:b/>
                <w:bCs/>
              </w:rPr>
              <w:t>Target</w:t>
            </w:r>
          </w:p>
        </w:tc>
        <w:tc>
          <w:tcPr>
            <w:tcW w:w="1417" w:type="dxa"/>
            <w:shd w:val="clear" w:color="auto" w:fill="DAEEF3" w:themeFill="accent5" w:themeFillTint="33"/>
            <w:hideMark/>
          </w:tcPr>
          <w:p w14:paraId="00D0FC58" w14:textId="77777777" w:rsidR="001E4F48" w:rsidRPr="00BD3616" w:rsidRDefault="001E4F48" w:rsidP="00413CE4">
            <w:pPr>
              <w:pStyle w:val="Paragraphnonumbers"/>
              <w:spacing w:after="0"/>
              <w:jc w:val="center"/>
              <w:rPr>
                <w:b/>
                <w:bCs/>
              </w:rPr>
            </w:pPr>
            <w:r w:rsidRPr="009F28C0">
              <w:rPr>
                <w:b/>
                <w:bCs/>
              </w:rPr>
              <w:t>Applies to</w:t>
            </w:r>
          </w:p>
        </w:tc>
        <w:tc>
          <w:tcPr>
            <w:tcW w:w="2268" w:type="dxa"/>
            <w:shd w:val="clear" w:color="auto" w:fill="DAEEF3" w:themeFill="accent5" w:themeFillTint="33"/>
          </w:tcPr>
          <w:p w14:paraId="6C6D6CE5" w14:textId="77777777" w:rsidR="001E4F48" w:rsidRPr="007E55DD" w:rsidRDefault="001E4F48" w:rsidP="00413CE4">
            <w:pPr>
              <w:pStyle w:val="Paragraphnonumbers"/>
              <w:spacing w:after="0"/>
              <w:jc w:val="center"/>
              <w:rPr>
                <w:b/>
                <w:bCs/>
              </w:rPr>
            </w:pPr>
            <w:r w:rsidRPr="007E55DD">
              <w:rPr>
                <w:b/>
                <w:bCs/>
              </w:rPr>
              <w:t>Key Performance Indicator (KPI)</w:t>
            </w:r>
          </w:p>
        </w:tc>
      </w:tr>
      <w:tr w:rsidR="001E4F48" w:rsidRPr="00BD3616" w14:paraId="14C387B5" w14:textId="77777777" w:rsidTr="00413CE4">
        <w:trPr>
          <w:trHeight w:val="1320"/>
        </w:trPr>
        <w:tc>
          <w:tcPr>
            <w:tcW w:w="4112" w:type="dxa"/>
            <w:hideMark/>
          </w:tcPr>
          <w:p w14:paraId="7DBC32A2" w14:textId="77777777" w:rsidR="001E4F48" w:rsidRPr="00BD3616" w:rsidRDefault="001E4F48" w:rsidP="00413CE4">
            <w:pPr>
              <w:pStyle w:val="Paragraphnonumbers"/>
              <w:spacing w:after="0"/>
            </w:pPr>
            <w:r w:rsidRPr="00BD3616">
              <w:t>Provides a point of contact for helpdesk and support services</w:t>
            </w:r>
            <w:r>
              <w:t>.</w:t>
            </w:r>
          </w:p>
        </w:tc>
        <w:tc>
          <w:tcPr>
            <w:tcW w:w="1559" w:type="dxa"/>
            <w:hideMark/>
          </w:tcPr>
          <w:p w14:paraId="37EF7E04" w14:textId="77777777" w:rsidR="001E4F48" w:rsidRPr="00BD3616" w:rsidRDefault="001E4F48" w:rsidP="00413CE4">
            <w:pPr>
              <w:pStyle w:val="Paragraphnonumbers"/>
              <w:spacing w:after="0"/>
            </w:pPr>
            <w:r w:rsidRPr="00BD3616">
              <w:t>Essential</w:t>
            </w:r>
          </w:p>
        </w:tc>
        <w:tc>
          <w:tcPr>
            <w:tcW w:w="5812" w:type="dxa"/>
            <w:hideMark/>
          </w:tcPr>
          <w:p w14:paraId="79C24162" w14:textId="77777777" w:rsidR="001E4F48" w:rsidRPr="00BD3616" w:rsidRDefault="001E4F48" w:rsidP="00413CE4">
            <w:pPr>
              <w:pStyle w:val="Paragraphnonumbers"/>
              <w:spacing w:after="0"/>
            </w:pPr>
            <w:r w:rsidRPr="00BD3616">
              <w:t>Provides a named Helpdesk point of contact (dedicated email and telephone number).</w:t>
            </w:r>
          </w:p>
        </w:tc>
        <w:tc>
          <w:tcPr>
            <w:tcW w:w="1417" w:type="dxa"/>
            <w:hideMark/>
          </w:tcPr>
          <w:p w14:paraId="2C5335F4" w14:textId="77777777" w:rsidR="001E4F48" w:rsidRPr="00BD3616" w:rsidRDefault="001E4F48" w:rsidP="00413CE4">
            <w:pPr>
              <w:pStyle w:val="Paragraphnonumbers"/>
              <w:spacing w:after="0"/>
            </w:pPr>
            <w:proofErr w:type="gramStart"/>
            <w:r w:rsidRPr="00BD3616">
              <w:t>All  electronic</w:t>
            </w:r>
            <w:proofErr w:type="gramEnd"/>
            <w:r w:rsidRPr="00BD3616">
              <w:t xml:space="preserve"> content </w:t>
            </w:r>
          </w:p>
        </w:tc>
        <w:tc>
          <w:tcPr>
            <w:tcW w:w="2268" w:type="dxa"/>
          </w:tcPr>
          <w:p w14:paraId="0F49941B" w14:textId="77777777" w:rsidR="001E4F48" w:rsidRPr="00BD3616" w:rsidRDefault="001E4F48" w:rsidP="00413CE4">
            <w:pPr>
              <w:pStyle w:val="Paragraphnonumbers"/>
              <w:spacing w:after="0"/>
            </w:pPr>
            <w:r>
              <w:rPr>
                <w:rFonts w:cs="Arial"/>
                <w:bCs/>
                <w:color w:val="000000" w:themeColor="text1"/>
              </w:rPr>
              <w:t>100% compliance</w:t>
            </w:r>
          </w:p>
        </w:tc>
      </w:tr>
      <w:tr w:rsidR="001E4F48" w:rsidRPr="00BD3616" w14:paraId="4C4B737D" w14:textId="77777777" w:rsidTr="00413CE4">
        <w:trPr>
          <w:trHeight w:val="705"/>
        </w:trPr>
        <w:tc>
          <w:tcPr>
            <w:tcW w:w="4112" w:type="dxa"/>
            <w:hideMark/>
          </w:tcPr>
          <w:p w14:paraId="2C39F190" w14:textId="77777777" w:rsidR="001E4F48" w:rsidRPr="00BD3616" w:rsidRDefault="001E4F48" w:rsidP="00413CE4">
            <w:pPr>
              <w:pStyle w:val="Paragraphnonumbers"/>
              <w:spacing w:after="0"/>
            </w:pPr>
            <w:r w:rsidRPr="00BD3616">
              <w:t>Responds to Complaints within an agreed timeframe.</w:t>
            </w:r>
          </w:p>
        </w:tc>
        <w:tc>
          <w:tcPr>
            <w:tcW w:w="1559" w:type="dxa"/>
            <w:hideMark/>
          </w:tcPr>
          <w:p w14:paraId="45F4EDBD" w14:textId="77777777" w:rsidR="001E4F48" w:rsidRPr="00BD3616" w:rsidRDefault="001E4F48" w:rsidP="00413CE4">
            <w:pPr>
              <w:pStyle w:val="Paragraphnonumbers"/>
              <w:spacing w:after="0"/>
            </w:pPr>
            <w:r w:rsidRPr="00BD3616">
              <w:t>Essential</w:t>
            </w:r>
          </w:p>
        </w:tc>
        <w:tc>
          <w:tcPr>
            <w:tcW w:w="5812" w:type="dxa"/>
            <w:hideMark/>
          </w:tcPr>
          <w:p w14:paraId="60514FFD" w14:textId="77777777" w:rsidR="001E4F48" w:rsidRPr="00BD3616" w:rsidRDefault="001E4F48" w:rsidP="00413CE4">
            <w:pPr>
              <w:pStyle w:val="Paragraphnonumbers"/>
              <w:spacing w:after="0"/>
            </w:pPr>
            <w:r w:rsidRPr="00BD3616">
              <w:t>Within 01 working day of receipt and provides confirmation of action to be taken within 02 working days.</w:t>
            </w:r>
          </w:p>
        </w:tc>
        <w:tc>
          <w:tcPr>
            <w:tcW w:w="1417" w:type="dxa"/>
            <w:hideMark/>
          </w:tcPr>
          <w:p w14:paraId="2A767F11" w14:textId="77777777" w:rsidR="001E4F48" w:rsidRPr="00BD3616" w:rsidRDefault="001E4F48" w:rsidP="00413CE4">
            <w:pPr>
              <w:pStyle w:val="Paragraphnonumbers"/>
              <w:spacing w:after="0"/>
            </w:pPr>
            <w:proofErr w:type="gramStart"/>
            <w:r w:rsidRPr="00BD3616">
              <w:t>All  electronic</w:t>
            </w:r>
            <w:proofErr w:type="gramEnd"/>
            <w:r w:rsidRPr="00BD3616">
              <w:t xml:space="preserve"> content </w:t>
            </w:r>
          </w:p>
        </w:tc>
        <w:tc>
          <w:tcPr>
            <w:tcW w:w="2268" w:type="dxa"/>
          </w:tcPr>
          <w:p w14:paraId="1EF58712" w14:textId="77777777" w:rsidR="001E4F48" w:rsidRPr="00BD3616" w:rsidRDefault="001E4F48" w:rsidP="00413CE4">
            <w:pPr>
              <w:pStyle w:val="Paragraphnonumbers"/>
              <w:spacing w:after="0"/>
            </w:pPr>
            <w:r w:rsidRPr="008277D5">
              <w:rPr>
                <w:rFonts w:cs="Arial"/>
                <w:bCs/>
                <w:color w:val="000000" w:themeColor="text1"/>
              </w:rPr>
              <w:t>100 % of all Complaints received.</w:t>
            </w:r>
          </w:p>
        </w:tc>
      </w:tr>
      <w:tr w:rsidR="001E4F48" w:rsidRPr="00BD3616" w14:paraId="2FC516BC" w14:textId="77777777" w:rsidTr="00413CE4">
        <w:trPr>
          <w:trHeight w:val="840"/>
        </w:trPr>
        <w:tc>
          <w:tcPr>
            <w:tcW w:w="4112" w:type="dxa"/>
            <w:hideMark/>
          </w:tcPr>
          <w:p w14:paraId="059A53DC" w14:textId="77777777" w:rsidR="001E4F48" w:rsidRPr="00BD3616" w:rsidRDefault="001E4F48" w:rsidP="00413CE4">
            <w:pPr>
              <w:pStyle w:val="Paragraphnonumbers"/>
              <w:spacing w:after="0"/>
            </w:pPr>
            <w:r w:rsidRPr="00BD3616">
              <w:t>Responds to General Enquiries within an agreed timeframe.</w:t>
            </w:r>
          </w:p>
        </w:tc>
        <w:tc>
          <w:tcPr>
            <w:tcW w:w="1559" w:type="dxa"/>
            <w:hideMark/>
          </w:tcPr>
          <w:p w14:paraId="0C8FE369" w14:textId="77777777" w:rsidR="001E4F48" w:rsidRPr="00BD3616" w:rsidRDefault="001E4F48" w:rsidP="00413CE4">
            <w:pPr>
              <w:pStyle w:val="Paragraphnonumbers"/>
              <w:spacing w:after="0"/>
            </w:pPr>
            <w:r w:rsidRPr="00BD3616">
              <w:t>Essential</w:t>
            </w:r>
          </w:p>
        </w:tc>
        <w:tc>
          <w:tcPr>
            <w:tcW w:w="5812" w:type="dxa"/>
            <w:hideMark/>
          </w:tcPr>
          <w:p w14:paraId="0713E760" w14:textId="77777777" w:rsidR="001E4F48" w:rsidRPr="00BD3616" w:rsidRDefault="001E4F48" w:rsidP="00413CE4">
            <w:pPr>
              <w:pStyle w:val="Paragraphnonumbers"/>
              <w:spacing w:after="0"/>
            </w:pPr>
            <w:r w:rsidRPr="00BD3616">
              <w:t>Within 02 working days of receipt.</w:t>
            </w:r>
          </w:p>
        </w:tc>
        <w:tc>
          <w:tcPr>
            <w:tcW w:w="1417" w:type="dxa"/>
            <w:hideMark/>
          </w:tcPr>
          <w:p w14:paraId="219FF224" w14:textId="77777777" w:rsidR="001E4F48" w:rsidRPr="00BD3616" w:rsidRDefault="001E4F48" w:rsidP="00413CE4">
            <w:pPr>
              <w:pStyle w:val="Paragraphnonumbers"/>
              <w:spacing w:after="0"/>
            </w:pPr>
            <w:proofErr w:type="gramStart"/>
            <w:r w:rsidRPr="00BD3616">
              <w:t>All  electronic</w:t>
            </w:r>
            <w:proofErr w:type="gramEnd"/>
            <w:r w:rsidRPr="00BD3616">
              <w:t xml:space="preserve"> content </w:t>
            </w:r>
          </w:p>
        </w:tc>
        <w:tc>
          <w:tcPr>
            <w:tcW w:w="2268" w:type="dxa"/>
          </w:tcPr>
          <w:p w14:paraId="101925A0" w14:textId="77777777" w:rsidR="001E4F48" w:rsidRPr="00BD3616" w:rsidRDefault="001E4F48" w:rsidP="00413CE4">
            <w:pPr>
              <w:pStyle w:val="Paragraphnonumbers"/>
              <w:spacing w:after="0"/>
            </w:pPr>
            <w:r w:rsidRPr="008277D5">
              <w:rPr>
                <w:rFonts w:cs="Arial"/>
                <w:bCs/>
                <w:color w:val="000000" w:themeColor="text1"/>
              </w:rPr>
              <w:t>100% of all General Enquiries received.</w:t>
            </w:r>
          </w:p>
        </w:tc>
      </w:tr>
      <w:tr w:rsidR="001E4F48" w:rsidRPr="00BD3616" w14:paraId="0FB5BEF6" w14:textId="77777777" w:rsidTr="00413CE4">
        <w:trPr>
          <w:trHeight w:val="1215"/>
        </w:trPr>
        <w:tc>
          <w:tcPr>
            <w:tcW w:w="4112" w:type="dxa"/>
            <w:hideMark/>
          </w:tcPr>
          <w:p w14:paraId="3705F932" w14:textId="77777777" w:rsidR="001E4F48" w:rsidRPr="00BD3616" w:rsidRDefault="001E4F48" w:rsidP="00413CE4">
            <w:pPr>
              <w:pStyle w:val="Paragraphnonumbers"/>
              <w:spacing w:after="0"/>
            </w:pPr>
            <w:r w:rsidRPr="00BD3616">
              <w:lastRenderedPageBreak/>
              <w:t>Resolves and closes General Enquiries received within an agreed timeframe.</w:t>
            </w:r>
          </w:p>
        </w:tc>
        <w:tc>
          <w:tcPr>
            <w:tcW w:w="1559" w:type="dxa"/>
            <w:hideMark/>
          </w:tcPr>
          <w:p w14:paraId="7B35D744" w14:textId="77777777" w:rsidR="001E4F48" w:rsidRPr="00BD3616" w:rsidRDefault="001E4F48" w:rsidP="00413CE4">
            <w:pPr>
              <w:pStyle w:val="Paragraphnonumbers"/>
              <w:spacing w:after="0"/>
            </w:pPr>
            <w:r w:rsidRPr="00BD3616">
              <w:t>Essential</w:t>
            </w:r>
          </w:p>
        </w:tc>
        <w:tc>
          <w:tcPr>
            <w:tcW w:w="5812" w:type="dxa"/>
            <w:hideMark/>
          </w:tcPr>
          <w:p w14:paraId="5B903F51" w14:textId="77777777" w:rsidR="001E4F48" w:rsidRPr="00BD3616" w:rsidRDefault="001E4F48" w:rsidP="00413CE4">
            <w:pPr>
              <w:pStyle w:val="Paragraphnonumbers"/>
              <w:spacing w:after="0"/>
            </w:pPr>
            <w:r w:rsidRPr="00BD3616">
              <w:t>95% of all General Enquiries resolved within 18 working days.</w:t>
            </w:r>
          </w:p>
        </w:tc>
        <w:tc>
          <w:tcPr>
            <w:tcW w:w="1417" w:type="dxa"/>
            <w:hideMark/>
          </w:tcPr>
          <w:p w14:paraId="47D9EAC1" w14:textId="77777777" w:rsidR="001E4F48" w:rsidRPr="00BD3616" w:rsidRDefault="001E4F48" w:rsidP="00413CE4">
            <w:pPr>
              <w:pStyle w:val="Paragraphnonumbers"/>
              <w:spacing w:after="0"/>
            </w:pPr>
            <w:proofErr w:type="gramStart"/>
            <w:r w:rsidRPr="00BD3616">
              <w:t>All  electronic</w:t>
            </w:r>
            <w:proofErr w:type="gramEnd"/>
            <w:r w:rsidRPr="00BD3616">
              <w:t xml:space="preserve"> content </w:t>
            </w:r>
          </w:p>
        </w:tc>
        <w:tc>
          <w:tcPr>
            <w:tcW w:w="2268" w:type="dxa"/>
          </w:tcPr>
          <w:p w14:paraId="0E0FD046" w14:textId="77777777" w:rsidR="001E4F48" w:rsidRPr="00BD3616" w:rsidRDefault="001E4F48" w:rsidP="00413CE4">
            <w:pPr>
              <w:pStyle w:val="Paragraphnonumbers"/>
              <w:spacing w:after="0"/>
            </w:pPr>
            <w:r w:rsidRPr="008277D5">
              <w:rPr>
                <w:rFonts w:cs="Arial"/>
              </w:rPr>
              <w:t>95% of all General Enquiries resolved within 18 working days.</w:t>
            </w:r>
          </w:p>
        </w:tc>
      </w:tr>
      <w:tr w:rsidR="001E4F48" w:rsidRPr="00BD3616" w14:paraId="79BBDAE2" w14:textId="77777777" w:rsidTr="00413CE4">
        <w:trPr>
          <w:trHeight w:val="915"/>
        </w:trPr>
        <w:tc>
          <w:tcPr>
            <w:tcW w:w="4112" w:type="dxa"/>
            <w:hideMark/>
          </w:tcPr>
          <w:p w14:paraId="4A6B9951" w14:textId="77777777" w:rsidR="001E4F48" w:rsidRPr="00BD3616" w:rsidRDefault="001E4F48" w:rsidP="00413CE4">
            <w:pPr>
              <w:pStyle w:val="Paragraphnonumbers"/>
              <w:spacing w:after="0"/>
            </w:pPr>
            <w:r w:rsidRPr="00BD3616">
              <w:t xml:space="preserve">Offers training and education programmes to support usage. </w:t>
            </w:r>
          </w:p>
        </w:tc>
        <w:tc>
          <w:tcPr>
            <w:tcW w:w="1559" w:type="dxa"/>
            <w:hideMark/>
          </w:tcPr>
          <w:p w14:paraId="1CE589E0" w14:textId="77777777" w:rsidR="001E4F48" w:rsidRPr="00BD3616" w:rsidRDefault="001E4F48" w:rsidP="00413CE4">
            <w:pPr>
              <w:pStyle w:val="Paragraphnonumbers"/>
              <w:spacing w:after="0"/>
            </w:pPr>
            <w:r w:rsidRPr="00BD3616">
              <w:t>Essential</w:t>
            </w:r>
          </w:p>
        </w:tc>
        <w:tc>
          <w:tcPr>
            <w:tcW w:w="5812" w:type="dxa"/>
            <w:hideMark/>
          </w:tcPr>
          <w:p w14:paraId="2CE71ADC" w14:textId="77777777" w:rsidR="001E4F48" w:rsidRPr="00BD3616" w:rsidRDefault="001E4F48" w:rsidP="00413CE4">
            <w:pPr>
              <w:pStyle w:val="Paragraphnonumbers"/>
              <w:spacing w:after="0"/>
            </w:pPr>
            <w:r w:rsidRPr="00BD3616">
              <w:t>Provides a range of training options (online, or face-to-face, or blended learning)</w:t>
            </w:r>
          </w:p>
        </w:tc>
        <w:tc>
          <w:tcPr>
            <w:tcW w:w="1417" w:type="dxa"/>
            <w:hideMark/>
          </w:tcPr>
          <w:p w14:paraId="38FE4483" w14:textId="77777777" w:rsidR="001E4F48" w:rsidRPr="00BD3616" w:rsidRDefault="001E4F48" w:rsidP="00413CE4">
            <w:pPr>
              <w:pStyle w:val="Paragraphnonumbers"/>
              <w:spacing w:after="0"/>
            </w:pPr>
            <w:proofErr w:type="gramStart"/>
            <w:r w:rsidRPr="00BD3616">
              <w:t>All  electronic</w:t>
            </w:r>
            <w:proofErr w:type="gramEnd"/>
            <w:r w:rsidRPr="00BD3616">
              <w:t xml:space="preserve"> content </w:t>
            </w:r>
          </w:p>
        </w:tc>
        <w:tc>
          <w:tcPr>
            <w:tcW w:w="2268" w:type="dxa"/>
          </w:tcPr>
          <w:p w14:paraId="0D972039" w14:textId="77777777" w:rsidR="001E4F48" w:rsidRPr="00BD3616" w:rsidRDefault="001E4F48" w:rsidP="00413CE4">
            <w:pPr>
              <w:pStyle w:val="Paragraphnonumbers"/>
              <w:spacing w:after="0"/>
            </w:pPr>
            <w:r w:rsidRPr="008277D5">
              <w:rPr>
                <w:rFonts w:cs="Arial"/>
              </w:rPr>
              <w:t>Compliance with reporting requirements</w:t>
            </w:r>
            <w:r>
              <w:rPr>
                <w:rFonts w:cs="Arial"/>
              </w:rPr>
              <w:t>.</w:t>
            </w:r>
          </w:p>
        </w:tc>
      </w:tr>
    </w:tbl>
    <w:p w14:paraId="17869AD6" w14:textId="77777777" w:rsidR="001E4F48" w:rsidRDefault="001E4F48" w:rsidP="001E4F48">
      <w:pPr>
        <w:pStyle w:val="TCBodyafterH1"/>
        <w:numPr>
          <w:ilvl w:val="0"/>
          <w:numId w:val="0"/>
        </w:numPr>
        <w:ind w:left="851"/>
      </w:pPr>
    </w:p>
    <w:p w14:paraId="26A40859" w14:textId="77777777" w:rsidR="001E4F48" w:rsidRDefault="001E4F48" w:rsidP="00C21B07">
      <w:pPr>
        <w:pStyle w:val="TCBodyafterH1"/>
        <w:numPr>
          <w:ilvl w:val="1"/>
          <w:numId w:val="29"/>
        </w:numPr>
        <w:ind w:left="851" w:hanging="851"/>
      </w:pPr>
      <w:r w:rsidRPr="00785BE3">
        <w:t xml:space="preserve">Core Service Standard: </w:t>
      </w:r>
      <w:r w:rsidRPr="009C2A1C">
        <w:t xml:space="preserve">Service </w:t>
      </w:r>
      <w:r>
        <w:t>n</w:t>
      </w:r>
      <w:r w:rsidRPr="009C2A1C">
        <w:t>otifications</w:t>
      </w:r>
      <w:r>
        <w:t>.</w:t>
      </w:r>
    </w:p>
    <w:tbl>
      <w:tblPr>
        <w:tblStyle w:val="TableGrid"/>
        <w:tblW w:w="15168" w:type="dxa"/>
        <w:tblInd w:w="-998" w:type="dxa"/>
        <w:tblLayout w:type="fixed"/>
        <w:tblLook w:val="04A0" w:firstRow="1" w:lastRow="0" w:firstColumn="1" w:lastColumn="0" w:noHBand="0" w:noVBand="1"/>
      </w:tblPr>
      <w:tblGrid>
        <w:gridCol w:w="4112"/>
        <w:gridCol w:w="1559"/>
        <w:gridCol w:w="5812"/>
        <w:gridCol w:w="1417"/>
        <w:gridCol w:w="2268"/>
      </w:tblGrid>
      <w:tr w:rsidR="001E4F48" w:rsidRPr="007E55DD" w14:paraId="0885A9E7" w14:textId="77777777" w:rsidTr="00413CE4">
        <w:trPr>
          <w:tblHeader/>
        </w:trPr>
        <w:tc>
          <w:tcPr>
            <w:tcW w:w="4112" w:type="dxa"/>
            <w:shd w:val="clear" w:color="auto" w:fill="DAEEF3" w:themeFill="accent5" w:themeFillTint="33"/>
            <w:hideMark/>
          </w:tcPr>
          <w:p w14:paraId="6880053E" w14:textId="77777777" w:rsidR="001E4F48" w:rsidRPr="007E55DD" w:rsidRDefault="001E4F48" w:rsidP="00413CE4">
            <w:pPr>
              <w:pStyle w:val="Paragraphnonumbers"/>
              <w:spacing w:after="0"/>
              <w:jc w:val="center"/>
              <w:rPr>
                <w:b/>
                <w:bCs/>
              </w:rPr>
            </w:pPr>
            <w:r w:rsidRPr="007E55DD">
              <w:rPr>
                <w:b/>
                <w:bCs/>
              </w:rPr>
              <w:t>Core Service Requirement</w:t>
            </w:r>
          </w:p>
        </w:tc>
        <w:tc>
          <w:tcPr>
            <w:tcW w:w="1559" w:type="dxa"/>
            <w:shd w:val="clear" w:color="auto" w:fill="DAEEF3" w:themeFill="accent5" w:themeFillTint="33"/>
            <w:hideMark/>
          </w:tcPr>
          <w:p w14:paraId="125604A7" w14:textId="77777777" w:rsidR="001E4F48" w:rsidRPr="007E55DD" w:rsidRDefault="001E4F48" w:rsidP="00413CE4">
            <w:pPr>
              <w:pStyle w:val="Paragraphnonumbers"/>
              <w:spacing w:after="0"/>
              <w:jc w:val="center"/>
              <w:rPr>
                <w:b/>
                <w:bCs/>
              </w:rPr>
            </w:pPr>
            <w:r w:rsidRPr="007E55DD">
              <w:rPr>
                <w:b/>
                <w:bCs/>
              </w:rPr>
              <w:t>Essential / Desirable</w:t>
            </w:r>
          </w:p>
        </w:tc>
        <w:tc>
          <w:tcPr>
            <w:tcW w:w="5812" w:type="dxa"/>
            <w:shd w:val="clear" w:color="auto" w:fill="DAEEF3" w:themeFill="accent5" w:themeFillTint="33"/>
            <w:hideMark/>
          </w:tcPr>
          <w:p w14:paraId="08FD2814" w14:textId="77777777" w:rsidR="001E4F48" w:rsidRPr="007E55DD" w:rsidRDefault="001E4F48" w:rsidP="00413CE4">
            <w:pPr>
              <w:pStyle w:val="Paragraphnonumbers"/>
              <w:spacing w:after="0"/>
              <w:jc w:val="center"/>
              <w:rPr>
                <w:b/>
                <w:bCs/>
              </w:rPr>
            </w:pPr>
            <w:r w:rsidRPr="007E55DD">
              <w:rPr>
                <w:b/>
                <w:bCs/>
              </w:rPr>
              <w:t>Target</w:t>
            </w:r>
          </w:p>
        </w:tc>
        <w:tc>
          <w:tcPr>
            <w:tcW w:w="1417" w:type="dxa"/>
            <w:shd w:val="clear" w:color="auto" w:fill="DAEEF3" w:themeFill="accent5" w:themeFillTint="33"/>
            <w:hideMark/>
          </w:tcPr>
          <w:p w14:paraId="72F73D96" w14:textId="77777777" w:rsidR="001E4F48" w:rsidRPr="009C2A1C" w:rsidRDefault="001E4F48" w:rsidP="00413CE4">
            <w:pPr>
              <w:pStyle w:val="Paragraphnonumbers"/>
              <w:spacing w:after="0"/>
              <w:jc w:val="center"/>
              <w:rPr>
                <w:b/>
                <w:bCs/>
              </w:rPr>
            </w:pPr>
            <w:r w:rsidRPr="009F28C0">
              <w:rPr>
                <w:b/>
                <w:bCs/>
              </w:rPr>
              <w:t>Applies to</w:t>
            </w:r>
          </w:p>
        </w:tc>
        <w:tc>
          <w:tcPr>
            <w:tcW w:w="2268" w:type="dxa"/>
            <w:shd w:val="clear" w:color="auto" w:fill="DAEEF3" w:themeFill="accent5" w:themeFillTint="33"/>
          </w:tcPr>
          <w:p w14:paraId="120297C9" w14:textId="77777777" w:rsidR="001E4F48" w:rsidRPr="007E55DD" w:rsidRDefault="001E4F48" w:rsidP="00413CE4">
            <w:pPr>
              <w:pStyle w:val="Paragraphnonumbers"/>
              <w:spacing w:after="0"/>
              <w:jc w:val="center"/>
              <w:rPr>
                <w:b/>
                <w:bCs/>
              </w:rPr>
            </w:pPr>
            <w:r w:rsidRPr="007E55DD">
              <w:rPr>
                <w:b/>
                <w:bCs/>
              </w:rPr>
              <w:t>Key Performance Indicator (KPI)</w:t>
            </w:r>
          </w:p>
        </w:tc>
      </w:tr>
      <w:tr w:rsidR="001E4F48" w:rsidRPr="007E55DD" w14:paraId="60EF2262" w14:textId="77777777" w:rsidTr="00413CE4">
        <w:trPr>
          <w:tblHeader/>
        </w:trPr>
        <w:tc>
          <w:tcPr>
            <w:tcW w:w="4112" w:type="dxa"/>
            <w:shd w:val="clear" w:color="auto" w:fill="auto"/>
          </w:tcPr>
          <w:p w14:paraId="0AD3B905" w14:textId="77777777" w:rsidR="001E4F48" w:rsidRPr="007E55DD" w:rsidRDefault="001E4F48" w:rsidP="00413CE4">
            <w:pPr>
              <w:pStyle w:val="Paragraphnonumbers"/>
              <w:spacing w:after="0"/>
              <w:rPr>
                <w:b/>
                <w:bCs/>
              </w:rPr>
            </w:pPr>
            <w:r w:rsidRPr="009C2A1C">
              <w:t>Provides notification of duplication of content purchases</w:t>
            </w:r>
            <w:r>
              <w:t>.</w:t>
            </w:r>
          </w:p>
        </w:tc>
        <w:tc>
          <w:tcPr>
            <w:tcW w:w="1559" w:type="dxa"/>
            <w:shd w:val="clear" w:color="auto" w:fill="auto"/>
          </w:tcPr>
          <w:p w14:paraId="776DADD5" w14:textId="77777777" w:rsidR="001E4F48" w:rsidRPr="007E55DD" w:rsidRDefault="001E4F48" w:rsidP="00413CE4">
            <w:pPr>
              <w:pStyle w:val="Paragraphnonumbers"/>
              <w:spacing w:after="0"/>
              <w:rPr>
                <w:b/>
                <w:bCs/>
              </w:rPr>
            </w:pPr>
            <w:r w:rsidRPr="009C2A1C">
              <w:t>Essential</w:t>
            </w:r>
          </w:p>
        </w:tc>
        <w:tc>
          <w:tcPr>
            <w:tcW w:w="5812" w:type="dxa"/>
            <w:shd w:val="clear" w:color="auto" w:fill="auto"/>
          </w:tcPr>
          <w:p w14:paraId="45B2CD59" w14:textId="77777777" w:rsidR="001E4F48" w:rsidRPr="007E55DD" w:rsidRDefault="001E4F48" w:rsidP="00413CE4">
            <w:pPr>
              <w:pStyle w:val="Paragraphnonumbers"/>
              <w:spacing w:after="0"/>
              <w:rPr>
                <w:b/>
                <w:bCs/>
              </w:rPr>
            </w:pPr>
            <w:r w:rsidRPr="009C2A1C">
              <w:t xml:space="preserve">Has a standard procedure in place to notify purchasers of any duplication of content </w:t>
            </w:r>
            <w:proofErr w:type="gramStart"/>
            <w:r w:rsidRPr="009C2A1C">
              <w:t>purchases</w:t>
            </w:r>
            <w:r>
              <w:t>.</w:t>
            </w:r>
            <w:proofErr w:type="gramEnd"/>
          </w:p>
        </w:tc>
        <w:tc>
          <w:tcPr>
            <w:tcW w:w="1417" w:type="dxa"/>
            <w:shd w:val="clear" w:color="auto" w:fill="auto"/>
          </w:tcPr>
          <w:p w14:paraId="777CAAAB" w14:textId="77777777" w:rsidR="001E4F48" w:rsidRPr="009F28C0" w:rsidRDefault="001E4F48" w:rsidP="00413CE4">
            <w:pPr>
              <w:pStyle w:val="Paragraphnonumbers"/>
              <w:spacing w:after="0"/>
            </w:pPr>
            <w:proofErr w:type="gramStart"/>
            <w:r w:rsidRPr="009C2A1C">
              <w:t>All  electronic</w:t>
            </w:r>
            <w:proofErr w:type="gramEnd"/>
            <w:r w:rsidRPr="009C2A1C">
              <w:t xml:space="preserve"> content </w:t>
            </w:r>
          </w:p>
        </w:tc>
        <w:tc>
          <w:tcPr>
            <w:tcW w:w="2268" w:type="dxa"/>
            <w:shd w:val="clear" w:color="auto" w:fill="auto"/>
          </w:tcPr>
          <w:p w14:paraId="04AC4C13" w14:textId="77777777" w:rsidR="001E4F48" w:rsidRPr="007E55DD" w:rsidRDefault="001E4F48" w:rsidP="00413CE4">
            <w:pPr>
              <w:pStyle w:val="Paragraphnonumbers"/>
              <w:spacing w:after="0"/>
              <w:rPr>
                <w:b/>
                <w:bCs/>
              </w:rPr>
            </w:pPr>
            <w:r>
              <w:rPr>
                <w:rFonts w:cs="Arial"/>
                <w:bCs/>
                <w:color w:val="000000" w:themeColor="text1"/>
              </w:rPr>
              <w:t>100% compliance</w:t>
            </w:r>
          </w:p>
        </w:tc>
      </w:tr>
      <w:tr w:rsidR="001E4F48" w:rsidRPr="007E55DD" w14:paraId="43E5BD5D" w14:textId="77777777" w:rsidTr="00413CE4">
        <w:trPr>
          <w:tblHeader/>
        </w:trPr>
        <w:tc>
          <w:tcPr>
            <w:tcW w:w="4112" w:type="dxa"/>
            <w:shd w:val="clear" w:color="auto" w:fill="auto"/>
          </w:tcPr>
          <w:p w14:paraId="5106ED41" w14:textId="77777777" w:rsidR="001E4F48" w:rsidRPr="009C2A1C" w:rsidRDefault="001E4F48" w:rsidP="00413CE4">
            <w:pPr>
              <w:pStyle w:val="Paragraphnonumbers"/>
              <w:spacing w:after="0"/>
            </w:pPr>
            <w:r w:rsidRPr="009C2A1C">
              <w:t xml:space="preserve">Provides notification of the withdrawal of Goods / Licensed Materials. </w:t>
            </w:r>
          </w:p>
        </w:tc>
        <w:tc>
          <w:tcPr>
            <w:tcW w:w="1559" w:type="dxa"/>
            <w:shd w:val="clear" w:color="auto" w:fill="auto"/>
          </w:tcPr>
          <w:p w14:paraId="11C8C6C9" w14:textId="77777777" w:rsidR="001E4F48" w:rsidRPr="009C2A1C" w:rsidRDefault="001E4F48" w:rsidP="00413CE4">
            <w:pPr>
              <w:pStyle w:val="Paragraphnonumbers"/>
              <w:spacing w:after="0"/>
            </w:pPr>
            <w:r w:rsidRPr="009C2A1C">
              <w:t>Essential</w:t>
            </w:r>
          </w:p>
        </w:tc>
        <w:tc>
          <w:tcPr>
            <w:tcW w:w="5812" w:type="dxa"/>
            <w:shd w:val="clear" w:color="auto" w:fill="auto"/>
          </w:tcPr>
          <w:p w14:paraId="5E7EBD46" w14:textId="77777777" w:rsidR="001E4F48" w:rsidRPr="009C2A1C" w:rsidRDefault="001E4F48" w:rsidP="00413CE4">
            <w:pPr>
              <w:pStyle w:val="Paragraphnonumbers"/>
              <w:spacing w:after="0"/>
            </w:pPr>
            <w:r w:rsidRPr="009C2A1C">
              <w:t>At least 60 working days</w:t>
            </w:r>
            <w:r>
              <w:t>’</w:t>
            </w:r>
            <w:r w:rsidRPr="009C2A1C">
              <w:t xml:space="preserve"> notice prior to the withdrawal date of title(s), to include </w:t>
            </w:r>
            <w:proofErr w:type="spellStart"/>
            <w:r w:rsidRPr="009C2A1C">
              <w:t>eJournal</w:t>
            </w:r>
            <w:proofErr w:type="spellEnd"/>
            <w:r w:rsidRPr="009C2A1C">
              <w:t xml:space="preserve"> titles moving publisher.</w:t>
            </w:r>
            <w:r w:rsidRPr="009C2A1C">
              <w:br/>
            </w:r>
            <w:r w:rsidRPr="009C2A1C">
              <w:br/>
              <w:t xml:space="preserve">Notice should be provided within 14 days after removal for content for which the Provider no longer retains the right to provide or which it has reasonable grounds to believe infringes copyright; or is defamatory, obscene, </w:t>
            </w:r>
            <w:proofErr w:type="gramStart"/>
            <w:r w:rsidRPr="009C2A1C">
              <w:t>unlawful</w:t>
            </w:r>
            <w:proofErr w:type="gramEnd"/>
            <w:r w:rsidRPr="009C2A1C">
              <w:t xml:space="preserve"> or otherwise objectionable.</w:t>
            </w:r>
          </w:p>
        </w:tc>
        <w:tc>
          <w:tcPr>
            <w:tcW w:w="1417" w:type="dxa"/>
            <w:shd w:val="clear" w:color="auto" w:fill="auto"/>
          </w:tcPr>
          <w:p w14:paraId="3F2FFF5F" w14:textId="77777777" w:rsidR="001E4F48" w:rsidRPr="009C2A1C" w:rsidRDefault="001E4F48" w:rsidP="00413CE4">
            <w:pPr>
              <w:pStyle w:val="Paragraphnonumbers"/>
              <w:spacing w:after="0"/>
            </w:pPr>
            <w:r w:rsidRPr="009C2A1C">
              <w:t>Print journals</w:t>
            </w:r>
            <w:r w:rsidRPr="009C2A1C">
              <w:br/>
            </w:r>
            <w:r w:rsidRPr="009C2A1C">
              <w:br/>
            </w:r>
            <w:proofErr w:type="gramStart"/>
            <w:r>
              <w:t>A</w:t>
            </w:r>
            <w:r w:rsidRPr="009C2A1C">
              <w:t>ll  electronic</w:t>
            </w:r>
            <w:proofErr w:type="gramEnd"/>
            <w:r w:rsidRPr="009C2A1C">
              <w:t xml:space="preserve"> content </w:t>
            </w:r>
          </w:p>
        </w:tc>
        <w:tc>
          <w:tcPr>
            <w:tcW w:w="2268" w:type="dxa"/>
            <w:shd w:val="clear" w:color="auto" w:fill="auto"/>
          </w:tcPr>
          <w:p w14:paraId="2F64AA4B" w14:textId="77777777" w:rsidR="001E4F48" w:rsidRPr="007E55DD" w:rsidRDefault="001E4F48" w:rsidP="00413CE4">
            <w:pPr>
              <w:pStyle w:val="Paragraphnonumbers"/>
              <w:spacing w:after="0"/>
              <w:rPr>
                <w:b/>
                <w:bCs/>
              </w:rPr>
            </w:pPr>
            <w:r w:rsidRPr="009C2A1C">
              <w:t>At least 60 days</w:t>
            </w:r>
          </w:p>
        </w:tc>
      </w:tr>
    </w:tbl>
    <w:p w14:paraId="4E43B7DE" w14:textId="6C19BE01" w:rsidR="001E4F48" w:rsidRDefault="001E4F48" w:rsidP="001E4F48">
      <w:pPr>
        <w:pStyle w:val="TCHeading1"/>
        <w:numPr>
          <w:ilvl w:val="0"/>
          <w:numId w:val="0"/>
        </w:numPr>
        <w:ind w:left="851"/>
      </w:pPr>
    </w:p>
    <w:p w14:paraId="0075DA34" w14:textId="77777777" w:rsidR="001E4F48" w:rsidRDefault="001E4F48" w:rsidP="00C21B07">
      <w:pPr>
        <w:pStyle w:val="TCBodyafterH1"/>
        <w:numPr>
          <w:ilvl w:val="1"/>
          <w:numId w:val="29"/>
        </w:numPr>
        <w:ind w:left="851" w:hanging="851"/>
      </w:pPr>
      <w:r w:rsidRPr="00785BE3">
        <w:t xml:space="preserve">Core Service Standard: </w:t>
      </w:r>
      <w:r w:rsidRPr="00F23267">
        <w:t>Service reporting</w:t>
      </w:r>
      <w:r>
        <w:t>.</w:t>
      </w:r>
    </w:p>
    <w:tbl>
      <w:tblPr>
        <w:tblStyle w:val="TableGrid"/>
        <w:tblW w:w="15168" w:type="dxa"/>
        <w:tblInd w:w="-998" w:type="dxa"/>
        <w:tblLayout w:type="fixed"/>
        <w:tblLook w:val="04A0" w:firstRow="1" w:lastRow="0" w:firstColumn="1" w:lastColumn="0" w:noHBand="0" w:noVBand="1"/>
      </w:tblPr>
      <w:tblGrid>
        <w:gridCol w:w="4112"/>
        <w:gridCol w:w="1559"/>
        <w:gridCol w:w="5812"/>
        <w:gridCol w:w="1417"/>
        <w:gridCol w:w="2268"/>
      </w:tblGrid>
      <w:tr w:rsidR="001E4F48" w:rsidRPr="007E55DD" w14:paraId="2A398802" w14:textId="77777777" w:rsidTr="00413CE4">
        <w:trPr>
          <w:tblHeader/>
        </w:trPr>
        <w:tc>
          <w:tcPr>
            <w:tcW w:w="4112" w:type="dxa"/>
            <w:shd w:val="clear" w:color="auto" w:fill="DAEEF3" w:themeFill="accent5" w:themeFillTint="33"/>
            <w:hideMark/>
          </w:tcPr>
          <w:p w14:paraId="4440BCA8" w14:textId="77777777" w:rsidR="001E4F48" w:rsidRPr="007E55DD" w:rsidRDefault="001E4F48" w:rsidP="00413CE4">
            <w:pPr>
              <w:pStyle w:val="Paragraphnonumbers"/>
              <w:spacing w:after="0"/>
              <w:jc w:val="center"/>
              <w:rPr>
                <w:b/>
                <w:bCs/>
              </w:rPr>
            </w:pPr>
            <w:r w:rsidRPr="007E55DD">
              <w:rPr>
                <w:b/>
                <w:bCs/>
              </w:rPr>
              <w:t>Core Service Requirement</w:t>
            </w:r>
          </w:p>
        </w:tc>
        <w:tc>
          <w:tcPr>
            <w:tcW w:w="1559" w:type="dxa"/>
            <w:shd w:val="clear" w:color="auto" w:fill="DAEEF3" w:themeFill="accent5" w:themeFillTint="33"/>
            <w:hideMark/>
          </w:tcPr>
          <w:p w14:paraId="0292429E" w14:textId="77777777" w:rsidR="001E4F48" w:rsidRPr="007E55DD" w:rsidRDefault="001E4F48" w:rsidP="00413CE4">
            <w:pPr>
              <w:pStyle w:val="Paragraphnonumbers"/>
              <w:spacing w:after="0"/>
              <w:jc w:val="center"/>
              <w:rPr>
                <w:b/>
                <w:bCs/>
              </w:rPr>
            </w:pPr>
            <w:r w:rsidRPr="007E55DD">
              <w:rPr>
                <w:b/>
                <w:bCs/>
              </w:rPr>
              <w:t>Essential / Desirable</w:t>
            </w:r>
          </w:p>
        </w:tc>
        <w:tc>
          <w:tcPr>
            <w:tcW w:w="5812" w:type="dxa"/>
            <w:shd w:val="clear" w:color="auto" w:fill="DAEEF3" w:themeFill="accent5" w:themeFillTint="33"/>
            <w:hideMark/>
          </w:tcPr>
          <w:p w14:paraId="40124E36" w14:textId="77777777" w:rsidR="001E4F48" w:rsidRPr="007E55DD" w:rsidRDefault="001E4F48" w:rsidP="00413CE4">
            <w:pPr>
              <w:pStyle w:val="Paragraphnonumbers"/>
              <w:spacing w:after="0"/>
              <w:jc w:val="center"/>
              <w:rPr>
                <w:b/>
                <w:bCs/>
              </w:rPr>
            </w:pPr>
            <w:r w:rsidRPr="007E55DD">
              <w:rPr>
                <w:b/>
                <w:bCs/>
              </w:rPr>
              <w:t>Target</w:t>
            </w:r>
          </w:p>
        </w:tc>
        <w:tc>
          <w:tcPr>
            <w:tcW w:w="1417" w:type="dxa"/>
            <w:shd w:val="clear" w:color="auto" w:fill="DAEEF3" w:themeFill="accent5" w:themeFillTint="33"/>
            <w:hideMark/>
          </w:tcPr>
          <w:p w14:paraId="194F4AE8" w14:textId="77777777" w:rsidR="001E4F48" w:rsidRPr="00392709" w:rsidRDefault="001E4F48" w:rsidP="00413CE4">
            <w:pPr>
              <w:pStyle w:val="Paragraphnonumbers"/>
              <w:spacing w:after="0"/>
              <w:jc w:val="center"/>
              <w:rPr>
                <w:b/>
                <w:bCs/>
              </w:rPr>
            </w:pPr>
            <w:r w:rsidRPr="00392709">
              <w:rPr>
                <w:b/>
                <w:bCs/>
              </w:rPr>
              <w:t>Applies to</w:t>
            </w:r>
          </w:p>
        </w:tc>
        <w:tc>
          <w:tcPr>
            <w:tcW w:w="2268" w:type="dxa"/>
            <w:shd w:val="clear" w:color="auto" w:fill="DAEEF3" w:themeFill="accent5" w:themeFillTint="33"/>
          </w:tcPr>
          <w:p w14:paraId="11F9763C" w14:textId="77777777" w:rsidR="001E4F48" w:rsidRPr="007E55DD" w:rsidRDefault="001E4F48" w:rsidP="00413CE4">
            <w:pPr>
              <w:pStyle w:val="Paragraphnonumbers"/>
              <w:spacing w:after="0"/>
              <w:jc w:val="center"/>
              <w:rPr>
                <w:b/>
                <w:bCs/>
              </w:rPr>
            </w:pPr>
            <w:r w:rsidRPr="007E55DD">
              <w:rPr>
                <w:b/>
                <w:bCs/>
              </w:rPr>
              <w:t>Key Performance Indicator (KPI)</w:t>
            </w:r>
          </w:p>
        </w:tc>
      </w:tr>
      <w:tr w:rsidR="001E4F48" w:rsidRPr="00392709" w14:paraId="12A280FE" w14:textId="77777777" w:rsidTr="00413CE4">
        <w:trPr>
          <w:trHeight w:val="1365"/>
        </w:trPr>
        <w:tc>
          <w:tcPr>
            <w:tcW w:w="4112" w:type="dxa"/>
            <w:hideMark/>
          </w:tcPr>
          <w:p w14:paraId="7C236EA5" w14:textId="77777777" w:rsidR="001E4F48" w:rsidRPr="00392709" w:rsidRDefault="001E4F48" w:rsidP="00413CE4">
            <w:pPr>
              <w:pStyle w:val="Paragraphnonumbers"/>
              <w:spacing w:after="0"/>
            </w:pPr>
            <w:r w:rsidRPr="00392709">
              <w:t>Attends contract and service review meetings at an agreed frequency with the Purchasing Authority.</w:t>
            </w:r>
          </w:p>
        </w:tc>
        <w:tc>
          <w:tcPr>
            <w:tcW w:w="1559" w:type="dxa"/>
            <w:hideMark/>
          </w:tcPr>
          <w:p w14:paraId="76589970" w14:textId="77777777" w:rsidR="001E4F48" w:rsidRPr="00392709" w:rsidRDefault="001E4F48" w:rsidP="00413CE4">
            <w:pPr>
              <w:pStyle w:val="Paragraphnonumbers"/>
              <w:spacing w:after="0"/>
            </w:pPr>
            <w:r w:rsidRPr="00392709">
              <w:t>Essential</w:t>
            </w:r>
          </w:p>
        </w:tc>
        <w:tc>
          <w:tcPr>
            <w:tcW w:w="5812" w:type="dxa"/>
            <w:hideMark/>
          </w:tcPr>
          <w:p w14:paraId="4003544D" w14:textId="77777777" w:rsidR="001E4F48" w:rsidRPr="00392709" w:rsidRDefault="001E4F48" w:rsidP="00413CE4">
            <w:pPr>
              <w:pStyle w:val="Paragraphnonumbers"/>
              <w:spacing w:after="0"/>
            </w:pPr>
            <w:r w:rsidRPr="00392709">
              <w:t>At least quarterly and always annually</w:t>
            </w:r>
          </w:p>
        </w:tc>
        <w:tc>
          <w:tcPr>
            <w:tcW w:w="1417" w:type="dxa"/>
            <w:hideMark/>
          </w:tcPr>
          <w:p w14:paraId="5AC5D621" w14:textId="77777777" w:rsidR="001E4F48" w:rsidRPr="00392709" w:rsidRDefault="001E4F48" w:rsidP="00413CE4">
            <w:pPr>
              <w:pStyle w:val="Paragraphnonumbers"/>
              <w:spacing w:after="0"/>
            </w:pPr>
            <w:r w:rsidRPr="00392709">
              <w:t>All</w:t>
            </w:r>
          </w:p>
        </w:tc>
        <w:tc>
          <w:tcPr>
            <w:tcW w:w="2268" w:type="dxa"/>
          </w:tcPr>
          <w:p w14:paraId="72B486C1" w14:textId="77777777" w:rsidR="001E4F48" w:rsidRPr="00392709" w:rsidRDefault="001E4F48" w:rsidP="00413CE4">
            <w:pPr>
              <w:pStyle w:val="Paragraphnonumbers"/>
              <w:spacing w:after="0"/>
            </w:pPr>
            <w:r w:rsidRPr="008277D5">
              <w:rPr>
                <w:rFonts w:cs="Arial"/>
                <w:bCs/>
                <w:color w:val="000000" w:themeColor="text1"/>
              </w:rPr>
              <w:t>100% compliance with reporting requirements</w:t>
            </w:r>
          </w:p>
        </w:tc>
      </w:tr>
      <w:tr w:rsidR="001E4F48" w:rsidRPr="00392709" w14:paraId="1A2B78DC" w14:textId="77777777" w:rsidTr="00413CE4">
        <w:trPr>
          <w:trHeight w:val="1200"/>
        </w:trPr>
        <w:tc>
          <w:tcPr>
            <w:tcW w:w="4112" w:type="dxa"/>
            <w:hideMark/>
          </w:tcPr>
          <w:p w14:paraId="7F3B52E2" w14:textId="77777777" w:rsidR="001E4F48" w:rsidRPr="00392709" w:rsidRDefault="001E4F48" w:rsidP="00413CE4">
            <w:pPr>
              <w:pStyle w:val="Paragraphnonumbers"/>
              <w:spacing w:after="0"/>
            </w:pPr>
            <w:r w:rsidRPr="00392709">
              <w:t xml:space="preserve">Provides a regular contract management / service report </w:t>
            </w:r>
            <w:proofErr w:type="gramStart"/>
            <w:r w:rsidRPr="00392709">
              <w:t>to  the</w:t>
            </w:r>
            <w:proofErr w:type="gramEnd"/>
            <w:r w:rsidRPr="00392709">
              <w:t xml:space="preserve"> Purchasing Authority at agreed timescales.</w:t>
            </w:r>
          </w:p>
        </w:tc>
        <w:tc>
          <w:tcPr>
            <w:tcW w:w="1559" w:type="dxa"/>
            <w:hideMark/>
          </w:tcPr>
          <w:p w14:paraId="21E7944D" w14:textId="77777777" w:rsidR="001E4F48" w:rsidRPr="00392709" w:rsidRDefault="001E4F48" w:rsidP="00413CE4">
            <w:pPr>
              <w:pStyle w:val="Paragraphnonumbers"/>
              <w:spacing w:after="0"/>
            </w:pPr>
            <w:r w:rsidRPr="00392709">
              <w:t>Essential</w:t>
            </w:r>
          </w:p>
        </w:tc>
        <w:tc>
          <w:tcPr>
            <w:tcW w:w="5812" w:type="dxa"/>
            <w:hideMark/>
          </w:tcPr>
          <w:p w14:paraId="4C310C8A" w14:textId="77777777" w:rsidR="001E4F48" w:rsidRPr="00392709" w:rsidRDefault="001E4F48" w:rsidP="00413CE4">
            <w:pPr>
              <w:pStyle w:val="Paragraphnonumbers"/>
              <w:spacing w:after="0"/>
            </w:pPr>
            <w:r w:rsidRPr="00392709">
              <w:t>At least quarterly and always annually.</w:t>
            </w:r>
            <w:r w:rsidRPr="00392709">
              <w:br/>
            </w:r>
            <w:r w:rsidRPr="00392709">
              <w:br/>
              <w:t xml:space="preserve">Includes a summary of performance for key Service standards, SLAs and </w:t>
            </w:r>
            <w:proofErr w:type="gramStart"/>
            <w:r w:rsidRPr="00392709">
              <w:t>KPI's  in</w:t>
            </w:r>
            <w:proofErr w:type="gramEnd"/>
            <w:r w:rsidRPr="00392709">
              <w:t xml:space="preserve"> regular contract management / service report.</w:t>
            </w:r>
          </w:p>
        </w:tc>
        <w:tc>
          <w:tcPr>
            <w:tcW w:w="1417" w:type="dxa"/>
            <w:hideMark/>
          </w:tcPr>
          <w:p w14:paraId="10BAD750" w14:textId="77777777" w:rsidR="001E4F48" w:rsidRPr="00392709" w:rsidRDefault="001E4F48" w:rsidP="00413CE4">
            <w:pPr>
              <w:pStyle w:val="Paragraphnonumbers"/>
              <w:spacing w:after="0"/>
            </w:pPr>
            <w:r w:rsidRPr="00392709">
              <w:t>All</w:t>
            </w:r>
          </w:p>
        </w:tc>
        <w:tc>
          <w:tcPr>
            <w:tcW w:w="2268" w:type="dxa"/>
          </w:tcPr>
          <w:p w14:paraId="6AE2CEFC" w14:textId="77777777" w:rsidR="001E4F48" w:rsidRPr="00392709" w:rsidRDefault="001E4F48" w:rsidP="00413CE4">
            <w:pPr>
              <w:pStyle w:val="Paragraphnonumbers"/>
              <w:spacing w:after="0"/>
            </w:pPr>
            <w:r w:rsidRPr="008277D5">
              <w:rPr>
                <w:rFonts w:cs="Arial"/>
                <w:bCs/>
                <w:color w:val="000000" w:themeColor="text1"/>
              </w:rPr>
              <w:t>100% compliance with reporting requirements</w:t>
            </w:r>
          </w:p>
        </w:tc>
      </w:tr>
      <w:tr w:rsidR="001E4F48" w:rsidRPr="00392709" w14:paraId="6574D1F3" w14:textId="77777777" w:rsidTr="00413CE4">
        <w:trPr>
          <w:trHeight w:val="600"/>
        </w:trPr>
        <w:tc>
          <w:tcPr>
            <w:tcW w:w="4112" w:type="dxa"/>
            <w:hideMark/>
          </w:tcPr>
          <w:p w14:paraId="10C84533" w14:textId="77777777" w:rsidR="001E4F48" w:rsidRPr="00392709" w:rsidRDefault="001E4F48" w:rsidP="00413CE4">
            <w:pPr>
              <w:pStyle w:val="Paragraphnonumbers"/>
              <w:spacing w:after="0"/>
            </w:pPr>
            <w:r w:rsidRPr="00392709">
              <w:t>Provides or facilitates the collection of monthly usage and statistical data.</w:t>
            </w:r>
          </w:p>
        </w:tc>
        <w:tc>
          <w:tcPr>
            <w:tcW w:w="1559" w:type="dxa"/>
            <w:hideMark/>
          </w:tcPr>
          <w:p w14:paraId="6E136E9F" w14:textId="77777777" w:rsidR="001E4F48" w:rsidRPr="00392709" w:rsidRDefault="001E4F48" w:rsidP="00413CE4">
            <w:pPr>
              <w:pStyle w:val="Paragraphnonumbers"/>
              <w:spacing w:after="0"/>
            </w:pPr>
            <w:r w:rsidRPr="00392709">
              <w:t>Essential</w:t>
            </w:r>
          </w:p>
        </w:tc>
        <w:tc>
          <w:tcPr>
            <w:tcW w:w="5812" w:type="dxa"/>
            <w:hideMark/>
          </w:tcPr>
          <w:p w14:paraId="7A87B355" w14:textId="77777777" w:rsidR="001E4F48" w:rsidRPr="00392709" w:rsidRDefault="001E4F48" w:rsidP="00413CE4">
            <w:pPr>
              <w:pStyle w:val="Paragraphnonumbers"/>
              <w:spacing w:after="0"/>
            </w:pPr>
            <w:r w:rsidRPr="00392709">
              <w:t>Statistics are COUNTER 5 compliant.</w:t>
            </w:r>
            <w:r w:rsidRPr="00392709">
              <w:br/>
              <w:t xml:space="preserve">Statistics </w:t>
            </w:r>
            <w:proofErr w:type="gramStart"/>
            <w:r w:rsidRPr="00392709">
              <w:t>are  available</w:t>
            </w:r>
            <w:proofErr w:type="gramEnd"/>
            <w:r w:rsidRPr="00392709">
              <w:t xml:space="preserve"> by 21st of the month.</w:t>
            </w:r>
          </w:p>
        </w:tc>
        <w:tc>
          <w:tcPr>
            <w:tcW w:w="1417" w:type="dxa"/>
            <w:hideMark/>
          </w:tcPr>
          <w:p w14:paraId="42F7C189" w14:textId="77777777" w:rsidR="001E4F48" w:rsidRPr="00392709" w:rsidRDefault="001E4F48" w:rsidP="00413CE4">
            <w:pPr>
              <w:pStyle w:val="Paragraphnonumbers"/>
              <w:spacing w:after="0"/>
            </w:pPr>
            <w:proofErr w:type="gramStart"/>
            <w:r w:rsidRPr="00392709">
              <w:t xml:space="preserve">All  </w:t>
            </w:r>
            <w:r w:rsidRPr="009F28C0">
              <w:t>electronic</w:t>
            </w:r>
            <w:proofErr w:type="gramEnd"/>
            <w:r w:rsidRPr="00392709">
              <w:t xml:space="preserve"> content </w:t>
            </w:r>
          </w:p>
        </w:tc>
        <w:tc>
          <w:tcPr>
            <w:tcW w:w="2268" w:type="dxa"/>
          </w:tcPr>
          <w:p w14:paraId="35C86FC6" w14:textId="77777777" w:rsidR="001E4F48" w:rsidRPr="00392709" w:rsidRDefault="001E4F48" w:rsidP="00413CE4">
            <w:pPr>
              <w:pStyle w:val="Paragraphnonumbers"/>
              <w:spacing w:after="0"/>
            </w:pPr>
            <w:r w:rsidRPr="008277D5">
              <w:rPr>
                <w:rFonts w:cs="Arial"/>
                <w:bCs/>
                <w:color w:val="000000" w:themeColor="text1"/>
              </w:rPr>
              <w:t>100% compliance with reporting requirements</w:t>
            </w:r>
          </w:p>
        </w:tc>
      </w:tr>
    </w:tbl>
    <w:p w14:paraId="4DA73B02" w14:textId="7DE0BCC2" w:rsidR="001E4F48" w:rsidRDefault="001E4F48" w:rsidP="001E4F48">
      <w:pPr>
        <w:pStyle w:val="TCBodyafterH1"/>
        <w:numPr>
          <w:ilvl w:val="0"/>
          <w:numId w:val="0"/>
        </w:numPr>
      </w:pPr>
    </w:p>
    <w:p w14:paraId="31B663C6" w14:textId="3D1E822A" w:rsidR="00C74501" w:rsidRDefault="00C74501" w:rsidP="001E4F48">
      <w:pPr>
        <w:pStyle w:val="TCBodyafterH1"/>
        <w:numPr>
          <w:ilvl w:val="0"/>
          <w:numId w:val="0"/>
        </w:numPr>
      </w:pPr>
    </w:p>
    <w:p w14:paraId="567459ED" w14:textId="1AC8011A" w:rsidR="00C74501" w:rsidRDefault="00C74501" w:rsidP="001E4F48">
      <w:pPr>
        <w:pStyle w:val="TCBodyafterH1"/>
        <w:numPr>
          <w:ilvl w:val="0"/>
          <w:numId w:val="0"/>
        </w:numPr>
      </w:pPr>
    </w:p>
    <w:p w14:paraId="05DEF4A7" w14:textId="2D1B15C4" w:rsidR="00C74501" w:rsidRDefault="00C74501" w:rsidP="001E4F48">
      <w:pPr>
        <w:pStyle w:val="TCBodyafterH1"/>
        <w:numPr>
          <w:ilvl w:val="0"/>
          <w:numId w:val="0"/>
        </w:numPr>
      </w:pPr>
    </w:p>
    <w:p w14:paraId="031EBB1A" w14:textId="6913C913" w:rsidR="00C74501" w:rsidRDefault="00C74501" w:rsidP="001E4F48">
      <w:pPr>
        <w:pStyle w:val="TCBodyafterH1"/>
        <w:numPr>
          <w:ilvl w:val="0"/>
          <w:numId w:val="0"/>
        </w:numPr>
      </w:pPr>
    </w:p>
    <w:p w14:paraId="3715C395" w14:textId="77777777" w:rsidR="00C74501" w:rsidRDefault="00C74501" w:rsidP="001E4F48">
      <w:pPr>
        <w:pStyle w:val="TCBodyafterH1"/>
        <w:numPr>
          <w:ilvl w:val="0"/>
          <w:numId w:val="0"/>
        </w:numPr>
      </w:pPr>
    </w:p>
    <w:p w14:paraId="238F8C80" w14:textId="77777777" w:rsidR="001E4F48" w:rsidRDefault="001E4F48" w:rsidP="00C21B07">
      <w:pPr>
        <w:pStyle w:val="TCBodyafterH1"/>
        <w:numPr>
          <w:ilvl w:val="1"/>
          <w:numId w:val="29"/>
        </w:numPr>
        <w:ind w:left="851" w:hanging="851"/>
      </w:pPr>
      <w:bookmarkStart w:id="20" w:name="_Hlk57791108"/>
      <w:r w:rsidRPr="00785BE3">
        <w:lastRenderedPageBreak/>
        <w:t xml:space="preserve">Core Service Standard: </w:t>
      </w:r>
      <w:r w:rsidRPr="00E938C2">
        <w:t>Measurement and Related Payment</w:t>
      </w:r>
      <w:bookmarkEnd w:id="20"/>
      <w:r>
        <w:t>.</w:t>
      </w:r>
    </w:p>
    <w:tbl>
      <w:tblPr>
        <w:tblStyle w:val="TableGrid"/>
        <w:tblW w:w="15168" w:type="dxa"/>
        <w:tblInd w:w="-998" w:type="dxa"/>
        <w:tblLayout w:type="fixed"/>
        <w:tblLook w:val="04A0" w:firstRow="1" w:lastRow="0" w:firstColumn="1" w:lastColumn="0" w:noHBand="0" w:noVBand="1"/>
      </w:tblPr>
      <w:tblGrid>
        <w:gridCol w:w="4112"/>
        <w:gridCol w:w="1559"/>
        <w:gridCol w:w="5812"/>
        <w:gridCol w:w="1417"/>
        <w:gridCol w:w="2268"/>
      </w:tblGrid>
      <w:tr w:rsidR="001E4F48" w:rsidRPr="007E55DD" w14:paraId="61E4A0B7" w14:textId="77777777" w:rsidTr="00413CE4">
        <w:trPr>
          <w:tblHeader/>
        </w:trPr>
        <w:tc>
          <w:tcPr>
            <w:tcW w:w="4112" w:type="dxa"/>
            <w:shd w:val="clear" w:color="auto" w:fill="DAEEF3" w:themeFill="accent5" w:themeFillTint="33"/>
            <w:hideMark/>
          </w:tcPr>
          <w:p w14:paraId="550DDCFF" w14:textId="77777777" w:rsidR="001E4F48" w:rsidRPr="007E55DD" w:rsidRDefault="001E4F48" w:rsidP="00413CE4">
            <w:pPr>
              <w:pStyle w:val="Paragraphnonumbers"/>
              <w:spacing w:after="0"/>
              <w:jc w:val="center"/>
              <w:rPr>
                <w:b/>
                <w:bCs/>
              </w:rPr>
            </w:pPr>
            <w:r w:rsidRPr="007E55DD">
              <w:rPr>
                <w:b/>
                <w:bCs/>
              </w:rPr>
              <w:t>Core Service Requirement</w:t>
            </w:r>
          </w:p>
        </w:tc>
        <w:tc>
          <w:tcPr>
            <w:tcW w:w="1559" w:type="dxa"/>
            <w:shd w:val="clear" w:color="auto" w:fill="DAEEF3" w:themeFill="accent5" w:themeFillTint="33"/>
            <w:hideMark/>
          </w:tcPr>
          <w:p w14:paraId="0FE3FBF4" w14:textId="77777777" w:rsidR="001E4F48" w:rsidRPr="007E55DD" w:rsidRDefault="001E4F48" w:rsidP="00413CE4">
            <w:pPr>
              <w:pStyle w:val="Paragraphnonumbers"/>
              <w:spacing w:after="0"/>
              <w:jc w:val="center"/>
              <w:rPr>
                <w:b/>
                <w:bCs/>
              </w:rPr>
            </w:pPr>
            <w:r w:rsidRPr="007E55DD">
              <w:rPr>
                <w:b/>
                <w:bCs/>
              </w:rPr>
              <w:t>Essential / Desirable</w:t>
            </w:r>
          </w:p>
        </w:tc>
        <w:tc>
          <w:tcPr>
            <w:tcW w:w="5812" w:type="dxa"/>
            <w:shd w:val="clear" w:color="auto" w:fill="DAEEF3" w:themeFill="accent5" w:themeFillTint="33"/>
            <w:hideMark/>
          </w:tcPr>
          <w:p w14:paraId="384586E6" w14:textId="77777777" w:rsidR="001E4F48" w:rsidRPr="007E55DD" w:rsidRDefault="001E4F48" w:rsidP="00413CE4">
            <w:pPr>
              <w:pStyle w:val="Paragraphnonumbers"/>
              <w:spacing w:after="0"/>
              <w:jc w:val="center"/>
              <w:rPr>
                <w:b/>
                <w:bCs/>
              </w:rPr>
            </w:pPr>
            <w:r w:rsidRPr="007E55DD">
              <w:rPr>
                <w:b/>
                <w:bCs/>
              </w:rPr>
              <w:t>Target</w:t>
            </w:r>
          </w:p>
        </w:tc>
        <w:tc>
          <w:tcPr>
            <w:tcW w:w="1417" w:type="dxa"/>
            <w:shd w:val="clear" w:color="auto" w:fill="DAEEF3" w:themeFill="accent5" w:themeFillTint="33"/>
            <w:hideMark/>
          </w:tcPr>
          <w:p w14:paraId="5E54F56D" w14:textId="77777777" w:rsidR="001E4F48" w:rsidRPr="00E938C2" w:rsidRDefault="001E4F48" w:rsidP="00413CE4">
            <w:pPr>
              <w:pStyle w:val="Paragraphnonumbers"/>
              <w:spacing w:after="0"/>
              <w:rPr>
                <w:b/>
                <w:bCs/>
              </w:rPr>
            </w:pPr>
            <w:r w:rsidRPr="009F28C0">
              <w:rPr>
                <w:b/>
                <w:bCs/>
              </w:rPr>
              <w:t>Applies to</w:t>
            </w:r>
          </w:p>
        </w:tc>
        <w:tc>
          <w:tcPr>
            <w:tcW w:w="2268" w:type="dxa"/>
            <w:shd w:val="clear" w:color="auto" w:fill="DAEEF3" w:themeFill="accent5" w:themeFillTint="33"/>
          </w:tcPr>
          <w:p w14:paraId="7C58488F" w14:textId="77777777" w:rsidR="001E4F48" w:rsidRPr="007E55DD" w:rsidRDefault="001E4F48" w:rsidP="00413CE4">
            <w:pPr>
              <w:pStyle w:val="Paragraphnonumbers"/>
              <w:spacing w:after="0"/>
              <w:jc w:val="center"/>
              <w:rPr>
                <w:b/>
                <w:bCs/>
              </w:rPr>
            </w:pPr>
            <w:r w:rsidRPr="007E55DD">
              <w:rPr>
                <w:b/>
                <w:bCs/>
              </w:rPr>
              <w:t>Key Performance Indicator (KPI)</w:t>
            </w:r>
          </w:p>
        </w:tc>
      </w:tr>
      <w:tr w:rsidR="001E4F48" w:rsidRPr="007E55DD" w14:paraId="441CA1B9" w14:textId="77777777" w:rsidTr="00413CE4">
        <w:trPr>
          <w:tblHeader/>
        </w:trPr>
        <w:tc>
          <w:tcPr>
            <w:tcW w:w="4112" w:type="dxa"/>
            <w:shd w:val="clear" w:color="auto" w:fill="auto"/>
          </w:tcPr>
          <w:p w14:paraId="1AF6759C" w14:textId="77777777" w:rsidR="001E4F48" w:rsidRPr="007E55DD" w:rsidRDefault="001E4F48" w:rsidP="00413CE4">
            <w:pPr>
              <w:pStyle w:val="Paragraphnonumbers"/>
              <w:spacing w:after="0"/>
              <w:rPr>
                <w:b/>
                <w:bCs/>
              </w:rPr>
            </w:pPr>
            <w:r w:rsidRPr="00AE0864">
              <w:t xml:space="preserve">Provides a service credit to Purchasing Authorities in the event of Service and/or the Licensed Materials suspension, due to Agent's delayed payment to a </w:t>
            </w:r>
            <w:r>
              <w:t>P</w:t>
            </w:r>
            <w:r w:rsidRPr="00AE0864">
              <w:t>ublisher.</w:t>
            </w:r>
          </w:p>
        </w:tc>
        <w:tc>
          <w:tcPr>
            <w:tcW w:w="1559" w:type="dxa"/>
            <w:shd w:val="clear" w:color="auto" w:fill="auto"/>
          </w:tcPr>
          <w:p w14:paraId="7C0A8F13" w14:textId="77777777" w:rsidR="001E4F48" w:rsidRPr="007E55DD" w:rsidRDefault="001E4F48" w:rsidP="00413CE4">
            <w:pPr>
              <w:pStyle w:val="Paragraphnonumbers"/>
              <w:spacing w:after="0"/>
              <w:rPr>
                <w:b/>
                <w:bCs/>
              </w:rPr>
            </w:pPr>
            <w:r w:rsidRPr="00AE0864">
              <w:t>Essential</w:t>
            </w:r>
          </w:p>
        </w:tc>
        <w:tc>
          <w:tcPr>
            <w:tcW w:w="5812" w:type="dxa"/>
            <w:shd w:val="clear" w:color="auto" w:fill="auto"/>
          </w:tcPr>
          <w:p w14:paraId="3C1FCEF4" w14:textId="77777777" w:rsidR="001E4F48" w:rsidRPr="007E55DD" w:rsidRDefault="001E4F48" w:rsidP="00413CE4">
            <w:pPr>
              <w:pStyle w:val="Paragraphnonumbers"/>
              <w:spacing w:after="0"/>
              <w:rPr>
                <w:b/>
                <w:bCs/>
              </w:rPr>
            </w:pPr>
            <w:r w:rsidRPr="00E938C2">
              <w:t>Provides a percentage reduction against the Fee paid.</w:t>
            </w:r>
            <w:r w:rsidRPr="00E938C2">
              <w:br/>
              <w:t>Credit percentage agreed as follows against quarterly / annual fee.</w:t>
            </w:r>
            <w:r w:rsidRPr="00E938C2">
              <w:br/>
            </w:r>
            <w:r w:rsidRPr="00E938C2">
              <w:br/>
              <w:t>Service Availability Credit Percentage:</w:t>
            </w:r>
            <w:r w:rsidRPr="00E938C2">
              <w:br/>
              <w:t>99.8 to 100% - 0%</w:t>
            </w:r>
            <w:r w:rsidRPr="00E938C2">
              <w:br/>
              <w:t>99.0% to 99.79% - 3%</w:t>
            </w:r>
            <w:r w:rsidRPr="00E938C2">
              <w:br/>
              <w:t>98.0% to 98.99% - 5%</w:t>
            </w:r>
            <w:r w:rsidRPr="00E938C2">
              <w:br/>
              <w:t>97% to 97.99% - 7%</w:t>
            </w:r>
            <w:r w:rsidRPr="00E938C2">
              <w:br/>
              <w:t>97.8% or below - 10%</w:t>
            </w:r>
            <w:r w:rsidRPr="00E938C2">
              <w:br/>
            </w:r>
            <w:r w:rsidRPr="00E938C2">
              <w:br/>
              <w:t>It is advisable that the Purchasing Authority clarifies at the point of purchase how the credits should be issued.</w:t>
            </w:r>
          </w:p>
        </w:tc>
        <w:tc>
          <w:tcPr>
            <w:tcW w:w="1417" w:type="dxa"/>
            <w:shd w:val="clear" w:color="auto" w:fill="auto"/>
          </w:tcPr>
          <w:p w14:paraId="2B5334A4" w14:textId="77777777" w:rsidR="001E4F48" w:rsidRPr="009F28C0" w:rsidRDefault="001E4F48" w:rsidP="00413CE4">
            <w:pPr>
              <w:pStyle w:val="Paragraphnonumbers"/>
              <w:spacing w:after="0"/>
            </w:pPr>
            <w:proofErr w:type="gramStart"/>
            <w:r w:rsidRPr="00E938C2">
              <w:t>All  electronic</w:t>
            </w:r>
            <w:proofErr w:type="gramEnd"/>
            <w:r w:rsidRPr="00E938C2">
              <w:t xml:space="preserve"> content </w:t>
            </w:r>
          </w:p>
        </w:tc>
        <w:tc>
          <w:tcPr>
            <w:tcW w:w="2268" w:type="dxa"/>
            <w:shd w:val="clear" w:color="auto" w:fill="auto"/>
          </w:tcPr>
          <w:p w14:paraId="321754CA" w14:textId="77777777" w:rsidR="001E4F48" w:rsidRPr="009F28C0" w:rsidRDefault="001E4F48" w:rsidP="00413CE4">
            <w:pPr>
              <w:pStyle w:val="Paragraphnonumbers"/>
              <w:spacing w:after="0"/>
            </w:pPr>
            <w:r w:rsidRPr="009F28C0">
              <w:t>100% compliance</w:t>
            </w:r>
          </w:p>
        </w:tc>
      </w:tr>
      <w:tr w:rsidR="001E4F48" w:rsidRPr="007E55DD" w14:paraId="323E2598" w14:textId="77777777" w:rsidTr="00413CE4">
        <w:trPr>
          <w:tblHeader/>
        </w:trPr>
        <w:tc>
          <w:tcPr>
            <w:tcW w:w="4112" w:type="dxa"/>
            <w:shd w:val="clear" w:color="auto" w:fill="auto"/>
          </w:tcPr>
          <w:p w14:paraId="197515F8" w14:textId="77777777" w:rsidR="001E4F48" w:rsidRPr="00E938C2" w:rsidRDefault="001E4F48" w:rsidP="00413CE4">
            <w:pPr>
              <w:pStyle w:val="Paragraphnonumbers"/>
              <w:spacing w:after="0"/>
            </w:pPr>
            <w:r w:rsidRPr="00E938C2">
              <w:t xml:space="preserve">Provides a refund in the event that the whole, parts, or an item of the Licensed Materials </w:t>
            </w:r>
            <w:r w:rsidRPr="003C6338">
              <w:t xml:space="preserve">is </w:t>
            </w:r>
            <w:r w:rsidRPr="009F28C0">
              <w:t>removed</w:t>
            </w:r>
            <w:r w:rsidRPr="003C6338">
              <w:t xml:space="preserve"> or </w:t>
            </w:r>
            <w:r w:rsidRPr="009F28C0">
              <w:t>withdrawn</w:t>
            </w:r>
            <w:r w:rsidRPr="003C6338">
              <w:t xml:space="preserve"> for any reason</w:t>
            </w:r>
            <w:r w:rsidRPr="00E938C2">
              <w:t>.</w:t>
            </w:r>
            <w:r w:rsidRPr="00E938C2">
              <w:br/>
            </w:r>
            <w:r w:rsidRPr="00E938C2">
              <w:rPr>
                <w:b/>
                <w:bCs/>
              </w:rPr>
              <w:br/>
            </w:r>
          </w:p>
        </w:tc>
        <w:tc>
          <w:tcPr>
            <w:tcW w:w="1559" w:type="dxa"/>
            <w:shd w:val="clear" w:color="auto" w:fill="auto"/>
          </w:tcPr>
          <w:p w14:paraId="3BD883D1" w14:textId="77777777" w:rsidR="001E4F48" w:rsidRPr="00E938C2" w:rsidRDefault="001E4F48" w:rsidP="00413CE4">
            <w:pPr>
              <w:pStyle w:val="Paragraphnonumbers"/>
              <w:spacing w:after="0"/>
            </w:pPr>
            <w:r w:rsidRPr="00E938C2">
              <w:t>Essential</w:t>
            </w:r>
          </w:p>
        </w:tc>
        <w:tc>
          <w:tcPr>
            <w:tcW w:w="5812" w:type="dxa"/>
            <w:shd w:val="clear" w:color="auto" w:fill="auto"/>
          </w:tcPr>
          <w:p w14:paraId="7C45AFA8" w14:textId="77777777" w:rsidR="001E4F48" w:rsidRPr="00E938C2" w:rsidRDefault="001E4F48" w:rsidP="00413CE4">
            <w:pPr>
              <w:pStyle w:val="Paragraphnonumbers"/>
              <w:spacing w:after="0"/>
            </w:pPr>
            <w:r w:rsidRPr="00E938C2">
              <w:t>Refunds that part of Fee paid for the remaining un-expired portion of the Subscription Term (proportional to the amount of the Licensed Materials / Goods unavailable.)</w:t>
            </w:r>
          </w:p>
        </w:tc>
        <w:tc>
          <w:tcPr>
            <w:tcW w:w="1417" w:type="dxa"/>
            <w:shd w:val="clear" w:color="auto" w:fill="auto"/>
          </w:tcPr>
          <w:p w14:paraId="1870ABDB" w14:textId="77777777" w:rsidR="001E4F48" w:rsidRPr="009F28C0" w:rsidRDefault="001E4F48" w:rsidP="00413CE4">
            <w:pPr>
              <w:pStyle w:val="Paragraphnonumbers"/>
              <w:spacing w:after="0"/>
            </w:pPr>
            <w:r w:rsidRPr="00E938C2">
              <w:t>Print journals</w:t>
            </w:r>
            <w:r w:rsidRPr="00E938C2">
              <w:br/>
            </w:r>
            <w:r w:rsidRPr="00E938C2">
              <w:br/>
            </w:r>
            <w:proofErr w:type="gramStart"/>
            <w:r>
              <w:t>A</w:t>
            </w:r>
            <w:r w:rsidRPr="00E938C2">
              <w:t>ll  electronic</w:t>
            </w:r>
            <w:proofErr w:type="gramEnd"/>
            <w:r w:rsidRPr="00E938C2">
              <w:t xml:space="preserve"> content</w:t>
            </w:r>
          </w:p>
        </w:tc>
        <w:tc>
          <w:tcPr>
            <w:tcW w:w="2268" w:type="dxa"/>
            <w:shd w:val="clear" w:color="auto" w:fill="auto"/>
          </w:tcPr>
          <w:p w14:paraId="357DB2B9" w14:textId="77777777" w:rsidR="001E4F48" w:rsidRPr="007E55DD" w:rsidRDefault="001E4F48" w:rsidP="00413CE4">
            <w:pPr>
              <w:pStyle w:val="Paragraphnonumbers"/>
              <w:spacing w:after="0"/>
              <w:rPr>
                <w:b/>
                <w:bCs/>
              </w:rPr>
            </w:pPr>
            <w:r w:rsidRPr="007E55DD">
              <w:t>100% compliance</w:t>
            </w:r>
          </w:p>
        </w:tc>
      </w:tr>
    </w:tbl>
    <w:p w14:paraId="15350F83" w14:textId="77777777" w:rsidR="001E4F48" w:rsidRDefault="001E4F48" w:rsidP="001E4F48">
      <w:pPr>
        <w:pStyle w:val="TCBodyafterH1"/>
        <w:numPr>
          <w:ilvl w:val="0"/>
          <w:numId w:val="0"/>
        </w:numPr>
      </w:pPr>
    </w:p>
    <w:p w14:paraId="329B1D22" w14:textId="77777777" w:rsidR="001E4F48" w:rsidRPr="00F135A1" w:rsidRDefault="001E4F48" w:rsidP="00C74501">
      <w:pPr>
        <w:pStyle w:val="TCHeading1"/>
        <w:numPr>
          <w:ilvl w:val="0"/>
          <w:numId w:val="0"/>
        </w:numPr>
      </w:pPr>
      <w:bookmarkStart w:id="21" w:name="_Toc390424069"/>
      <w:bookmarkStart w:id="22" w:name="_Toc392775160"/>
      <w:bookmarkStart w:id="23" w:name="_Toc390424070"/>
      <w:bookmarkStart w:id="24" w:name="_Toc392775161"/>
      <w:bookmarkStart w:id="25" w:name="_Toc390424071"/>
      <w:bookmarkStart w:id="26" w:name="_Toc392775162"/>
      <w:bookmarkStart w:id="27" w:name="_Toc360460190"/>
      <w:bookmarkEnd w:id="21"/>
      <w:bookmarkEnd w:id="22"/>
      <w:bookmarkEnd w:id="23"/>
      <w:bookmarkEnd w:id="24"/>
      <w:bookmarkEnd w:id="25"/>
      <w:bookmarkEnd w:id="26"/>
      <w:bookmarkEnd w:id="27"/>
    </w:p>
    <w:sectPr w:rsidR="001E4F48" w:rsidRPr="00F135A1" w:rsidSect="001E4F4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F0F8" w14:textId="77777777" w:rsidR="00F135A1" w:rsidRDefault="00F135A1" w:rsidP="00446BEE">
      <w:r>
        <w:separator/>
      </w:r>
    </w:p>
  </w:endnote>
  <w:endnote w:type="continuationSeparator" w:id="0">
    <w:p w14:paraId="452087B4" w14:textId="77777777" w:rsidR="00F135A1" w:rsidRDefault="00F135A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45BC" w14:textId="77777777" w:rsidR="00446BEE" w:rsidRDefault="00446BEE">
    <w:pPr>
      <w:pStyle w:val="Footer"/>
    </w:pPr>
    <w:r>
      <w:t>[</w:t>
    </w:r>
    <w:r w:rsidR="00FA2C5A">
      <w:t>I</w:t>
    </w:r>
    <w:r>
      <w:t>nsert footer here]</w:t>
    </w:r>
    <w:r>
      <w:tab/>
    </w:r>
    <w:r>
      <w:tab/>
    </w:r>
    <w:r>
      <w:fldChar w:fldCharType="begin"/>
    </w:r>
    <w:r>
      <w:instrText xml:space="preserve"> PAGE </w:instrText>
    </w:r>
    <w:r>
      <w:fldChar w:fldCharType="separate"/>
    </w:r>
    <w:r w:rsidR="007F238D">
      <w:rPr>
        <w:noProof/>
      </w:rPr>
      <w:t>1</w:t>
    </w:r>
    <w:r>
      <w:fldChar w:fldCharType="end"/>
    </w:r>
    <w:r>
      <w:t xml:space="preserve"> of </w:t>
    </w:r>
    <w:r w:rsidR="00C74501">
      <w:fldChar w:fldCharType="begin"/>
    </w:r>
    <w:r w:rsidR="00C74501">
      <w:instrText xml:space="preserve"> NUMPAGES  </w:instrText>
    </w:r>
    <w:r w:rsidR="00C74501">
      <w:fldChar w:fldCharType="separate"/>
    </w:r>
    <w:r w:rsidR="007F238D">
      <w:rPr>
        <w:noProof/>
      </w:rPr>
      <w:t>1</w:t>
    </w:r>
    <w:r w:rsidR="00C7450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D862" w14:textId="77777777" w:rsidR="00F135A1" w:rsidRDefault="00F135A1" w:rsidP="00446BEE">
      <w:r>
        <w:separator/>
      </w:r>
    </w:p>
  </w:footnote>
  <w:footnote w:type="continuationSeparator" w:id="0">
    <w:p w14:paraId="6EFE59D7" w14:textId="77777777" w:rsidR="00F135A1" w:rsidRDefault="00F135A1"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538E2"/>
    <w:multiLevelType w:val="multilevel"/>
    <w:tmpl w:val="C45C71D4"/>
    <w:lvl w:ilvl="0">
      <w:start w:val="1"/>
      <w:numFmt w:val="decimal"/>
      <w:pStyle w:val="TCHeading1"/>
      <w:lvlText w:val="%1."/>
      <w:lvlJc w:val="left"/>
      <w:pPr>
        <w:ind w:left="360" w:hanging="360"/>
      </w:pPr>
    </w:lvl>
    <w:lvl w:ilvl="1">
      <w:start w:val="1"/>
      <w:numFmt w:val="decimal"/>
      <w:pStyle w:val="TCBodyafterH1"/>
      <w:lvlText w:val="%1.%2."/>
      <w:lvlJc w:val="left"/>
      <w:pPr>
        <w:ind w:left="10922" w:hanging="432"/>
      </w:pPr>
      <w:rPr>
        <w:b w:val="0"/>
        <w:bCs w:val="0"/>
      </w:rPr>
    </w:lvl>
    <w:lvl w:ilvl="2">
      <w:start w:val="1"/>
      <w:numFmt w:val="decimal"/>
      <w:pStyle w:val="TCBodyLevelafterH2"/>
      <w:lvlText w:val="%1.%2.%3."/>
      <w:lvlJc w:val="left"/>
      <w:pPr>
        <w:ind w:left="50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CBodyafterH3"/>
      <w:lvlText w:val="%1.%2.%3.%4."/>
      <w:lvlJc w:val="left"/>
      <w:pPr>
        <w:ind w:left="234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B15797"/>
    <w:multiLevelType w:val="hybridMultilevel"/>
    <w:tmpl w:val="6DB4085A"/>
    <w:lvl w:ilvl="0" w:tplc="D7F8E0EA">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B6BA4"/>
    <w:multiLevelType w:val="hybridMultilevel"/>
    <w:tmpl w:val="7FA43488"/>
    <w:lvl w:ilvl="0" w:tplc="068475F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F238AF"/>
    <w:multiLevelType w:val="multilevel"/>
    <w:tmpl w:val="7B5E6576"/>
    <w:lvl w:ilvl="0">
      <w:start w:val="1"/>
      <w:numFmt w:val="decimal"/>
      <w:lvlText w:val="%1."/>
      <w:lvlJc w:val="left"/>
      <w:pPr>
        <w:tabs>
          <w:tab w:val="num" w:pos="720"/>
        </w:tabs>
        <w:ind w:left="720" w:hanging="720"/>
      </w:pPr>
    </w:lvl>
    <w:lvl w:ilvl="1">
      <w:start w:val="1"/>
      <w:numFmt w:val="decimal"/>
      <w:pStyle w:val="StyleMRSchedPara2MRscP210p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5335C4"/>
    <w:multiLevelType w:val="multilevel"/>
    <w:tmpl w:val="29B467AE"/>
    <w:lvl w:ilvl="0">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D0ED7"/>
    <w:multiLevelType w:val="hybridMultilevel"/>
    <w:tmpl w:val="5A806096"/>
    <w:lvl w:ilvl="0" w:tplc="638EC9EC">
      <w:start w:val="1"/>
      <w:numFmt w:val="decimal"/>
      <w:pStyle w:val="Style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8"/>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lvlOverride w:ilvl="0">
      <w:startOverride w:val="1"/>
    </w:lvlOverride>
  </w:num>
  <w:num w:numId="27">
    <w:abstractNumId w:val="16"/>
  </w:num>
  <w:num w:numId="28">
    <w:abstractNumId w:val="16"/>
    <w:lvlOverride w:ilvl="0">
      <w:startOverride w:val="1"/>
    </w:lvlOverride>
  </w:num>
  <w:num w:numId="29">
    <w:abstractNumId w:val="16"/>
    <w:lvlOverride w:ilvl="0">
      <w:startOverride w:val="9"/>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A1"/>
    <w:rsid w:val="000053F8"/>
    <w:rsid w:val="00024D0A"/>
    <w:rsid w:val="000472DC"/>
    <w:rsid w:val="00070065"/>
    <w:rsid w:val="00075719"/>
    <w:rsid w:val="000A4FEE"/>
    <w:rsid w:val="000B5939"/>
    <w:rsid w:val="00111CCE"/>
    <w:rsid w:val="001134E7"/>
    <w:rsid w:val="0017149E"/>
    <w:rsid w:val="0017169E"/>
    <w:rsid w:val="00181A4A"/>
    <w:rsid w:val="001B0EE9"/>
    <w:rsid w:val="001B65B3"/>
    <w:rsid w:val="001E4F48"/>
    <w:rsid w:val="002029A6"/>
    <w:rsid w:val="002408EA"/>
    <w:rsid w:val="002819D7"/>
    <w:rsid w:val="002C1A7E"/>
    <w:rsid w:val="002D3376"/>
    <w:rsid w:val="00311ED0"/>
    <w:rsid w:val="003648C5"/>
    <w:rsid w:val="003722FA"/>
    <w:rsid w:val="003C7AAF"/>
    <w:rsid w:val="004075B6"/>
    <w:rsid w:val="00420952"/>
    <w:rsid w:val="00433EFF"/>
    <w:rsid w:val="00443081"/>
    <w:rsid w:val="00446BEE"/>
    <w:rsid w:val="005025A1"/>
    <w:rsid w:val="00537889"/>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F108A"/>
    <w:rsid w:val="00B02E55"/>
    <w:rsid w:val="00B036C1"/>
    <w:rsid w:val="00B161FE"/>
    <w:rsid w:val="00B5431F"/>
    <w:rsid w:val="00BF7FE0"/>
    <w:rsid w:val="00C21B07"/>
    <w:rsid w:val="00C6336F"/>
    <w:rsid w:val="00C74501"/>
    <w:rsid w:val="00C81104"/>
    <w:rsid w:val="00C96411"/>
    <w:rsid w:val="00CB5671"/>
    <w:rsid w:val="00CF58B7"/>
    <w:rsid w:val="00D351C1"/>
    <w:rsid w:val="00D35EFB"/>
    <w:rsid w:val="00D504B3"/>
    <w:rsid w:val="00D86BF0"/>
    <w:rsid w:val="00E51920"/>
    <w:rsid w:val="00E64120"/>
    <w:rsid w:val="00E660A1"/>
    <w:rsid w:val="00EA3CCF"/>
    <w:rsid w:val="00F055F1"/>
    <w:rsid w:val="00F135A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28F2"/>
  <w15:chartTrackingRefBased/>
  <w15:docId w15:val="{F9429F23-C745-4E8C-8A87-D9FDDE6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TCHeading1"/>
    <w:next w:val="Paragraphnonumbers"/>
    <w:link w:val="Heading1Char"/>
    <w:uiPriority w:val="1"/>
    <w:qFormat/>
    <w:rsid w:val="00537889"/>
    <w:pPr>
      <w:numPr>
        <w:numId w:val="27"/>
      </w:numPr>
      <w:outlineLvl w:val="0"/>
    </w:pPr>
    <w:rPr>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075719"/>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6336F"/>
    <w:rPr>
      <w:rFonts w:ascii="Arial" w:hAnsi="Arial"/>
      <w:b/>
      <w:sz w:val="28"/>
      <w:szCs w:val="32"/>
      <w:lang w:eastAsia="en-US"/>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pPr>
      <w:spacing w:before="360"/>
    </w:pPr>
    <w:rPr>
      <w:rFonts w:asciiTheme="majorHAnsi" w:hAnsiTheme="majorHAnsi"/>
      <w:b/>
      <w:bCs/>
      <w:caps/>
    </w:rPr>
  </w:style>
  <w:style w:type="paragraph" w:styleId="TOC2">
    <w:name w:val="toc 2"/>
    <w:basedOn w:val="Normal"/>
    <w:next w:val="Normal"/>
    <w:autoRedefine/>
    <w:semiHidden/>
    <w:rsid w:val="00F610AF"/>
    <w:pPr>
      <w:spacing w:before="240"/>
    </w:pPr>
    <w:rPr>
      <w:rFonts w:asciiTheme="minorHAnsi" w:hAnsiTheme="minorHAnsi" w:cstheme="minorHAnsi"/>
      <w:b/>
      <w:bCs/>
      <w:sz w:val="20"/>
      <w:szCs w:val="20"/>
    </w:rPr>
  </w:style>
  <w:style w:type="paragraph" w:styleId="TOC3">
    <w:name w:val="toc 3"/>
    <w:basedOn w:val="Normal"/>
    <w:next w:val="Normal"/>
    <w:autoRedefine/>
    <w:semiHidden/>
    <w:rsid w:val="00F610AF"/>
    <w:pPr>
      <w:ind w:left="240"/>
    </w:pPr>
    <w:rPr>
      <w:rFonts w:asciiTheme="minorHAnsi" w:hAnsiTheme="minorHAnsi" w:cstheme="minorHAnsi"/>
      <w:sz w:val="20"/>
      <w:szCs w:val="20"/>
    </w:rPr>
  </w:style>
  <w:style w:type="paragraph" w:styleId="TOC4">
    <w:name w:val="toc 4"/>
    <w:basedOn w:val="Normal"/>
    <w:next w:val="Normal"/>
    <w:autoRedefine/>
    <w:semiHidden/>
    <w:rsid w:val="00F610AF"/>
    <w:pPr>
      <w:ind w:left="480"/>
    </w:pPr>
    <w:rPr>
      <w:rFonts w:asciiTheme="minorHAnsi" w:hAnsiTheme="minorHAnsi" w:cstheme="minorHAnsi"/>
      <w:sz w:val="20"/>
      <w:szCs w:val="20"/>
    </w:rPr>
  </w:style>
  <w:style w:type="paragraph" w:styleId="TOAHeading">
    <w:name w:val="toa heading"/>
    <w:basedOn w:val="Normal"/>
    <w:next w:val="Normal"/>
    <w:semiHidden/>
    <w:rsid w:val="00F610AF"/>
    <w:pPr>
      <w:spacing w:before="120"/>
    </w:pPr>
    <w:rPr>
      <w:rFonts w:ascii="Arial" w:hAnsi="Arial"/>
      <w:b/>
      <w:bCs/>
    </w:rPr>
  </w:style>
  <w:style w:type="paragraph" w:customStyle="1" w:styleId="Style1">
    <w:name w:val="Style1"/>
    <w:basedOn w:val="Heading1"/>
    <w:qFormat/>
    <w:rsid w:val="00F135A1"/>
    <w:pPr>
      <w:numPr>
        <w:numId w:val="21"/>
      </w:numPr>
    </w:pPr>
  </w:style>
  <w:style w:type="paragraph" w:customStyle="1" w:styleId="Style2">
    <w:name w:val="Style2"/>
    <w:basedOn w:val="Style1"/>
    <w:qFormat/>
    <w:rsid w:val="00F135A1"/>
    <w:pPr>
      <w:numPr>
        <w:numId w:val="0"/>
      </w:numPr>
      <w:ind w:left="720"/>
    </w:pPr>
  </w:style>
  <w:style w:type="paragraph" w:customStyle="1" w:styleId="TCHeading1">
    <w:name w:val="T&amp;C Heading 1"/>
    <w:basedOn w:val="Normal"/>
    <w:qFormat/>
    <w:rsid w:val="00075719"/>
    <w:pPr>
      <w:numPr>
        <w:numId w:val="22"/>
      </w:numPr>
      <w:tabs>
        <w:tab w:val="left" w:pos="851"/>
      </w:tabs>
      <w:spacing w:before="120" w:after="240"/>
    </w:pPr>
    <w:rPr>
      <w:rFonts w:ascii="Arial" w:hAnsi="Arial"/>
      <w:b/>
      <w:sz w:val="32"/>
      <w:szCs w:val="36"/>
      <w:lang w:eastAsia="en-US"/>
    </w:rPr>
  </w:style>
  <w:style w:type="paragraph" w:customStyle="1" w:styleId="TCBodyafterH1">
    <w:name w:val="T&amp;C Body after H1"/>
    <w:basedOn w:val="TCHeading1"/>
    <w:qFormat/>
    <w:rsid w:val="00075719"/>
    <w:pPr>
      <w:numPr>
        <w:ilvl w:val="1"/>
      </w:numPr>
      <w:ind w:left="851" w:hanging="851"/>
    </w:pPr>
    <w:rPr>
      <w:b w:val="0"/>
      <w:sz w:val="24"/>
      <w:szCs w:val="24"/>
    </w:rPr>
  </w:style>
  <w:style w:type="paragraph" w:customStyle="1" w:styleId="TCBodyafterH3">
    <w:name w:val="T&amp;C Body after H3"/>
    <w:basedOn w:val="Normal"/>
    <w:qFormat/>
    <w:rsid w:val="00075719"/>
    <w:pPr>
      <w:numPr>
        <w:ilvl w:val="3"/>
        <w:numId w:val="22"/>
      </w:numPr>
      <w:tabs>
        <w:tab w:val="left" w:pos="3402"/>
      </w:tabs>
      <w:spacing w:before="120" w:after="240"/>
    </w:pPr>
    <w:rPr>
      <w:rFonts w:ascii="Arial" w:hAnsi="Arial"/>
      <w:lang w:eastAsia="en-US"/>
    </w:rPr>
  </w:style>
  <w:style w:type="paragraph" w:customStyle="1" w:styleId="TCBodyLevelafterH2">
    <w:name w:val="T&amp;C Body Level after H2"/>
    <w:basedOn w:val="Normal"/>
    <w:qFormat/>
    <w:rsid w:val="00075719"/>
    <w:pPr>
      <w:numPr>
        <w:ilvl w:val="2"/>
        <w:numId w:val="22"/>
      </w:numPr>
      <w:tabs>
        <w:tab w:val="left" w:pos="1701"/>
      </w:tabs>
      <w:spacing w:before="120" w:after="240"/>
    </w:pPr>
    <w:rPr>
      <w:rFonts w:ascii="Arial" w:hAnsi="Arial"/>
      <w:lang w:eastAsia="en-US"/>
    </w:rPr>
  </w:style>
  <w:style w:type="paragraph" w:customStyle="1" w:styleId="TCHeading2">
    <w:name w:val="T&amp;C Heading 2"/>
    <w:basedOn w:val="TCBodyafterH1"/>
    <w:qFormat/>
    <w:rsid w:val="00075719"/>
    <w:rPr>
      <w:b/>
    </w:rPr>
  </w:style>
  <w:style w:type="paragraph" w:customStyle="1" w:styleId="TCTable">
    <w:name w:val="T&amp;C Table"/>
    <w:basedOn w:val="Normal"/>
    <w:qFormat/>
    <w:rsid w:val="00075719"/>
    <w:pPr>
      <w:spacing w:before="120" w:after="120"/>
    </w:pPr>
    <w:rPr>
      <w:rFonts w:ascii="Arial" w:hAnsi="Arial"/>
    </w:rPr>
  </w:style>
  <w:style w:type="paragraph" w:customStyle="1" w:styleId="TCMainHeading">
    <w:name w:val="T&amp;C Main Heading"/>
    <w:basedOn w:val="Normal"/>
    <w:qFormat/>
    <w:rsid w:val="00075719"/>
    <w:pPr>
      <w:spacing w:before="120" w:after="120"/>
      <w:jc w:val="center"/>
    </w:pPr>
    <w:rPr>
      <w:rFonts w:ascii="Arial" w:hAnsi="Arial"/>
      <w:b/>
      <w:sz w:val="40"/>
      <w:szCs w:val="40"/>
      <w:lang w:eastAsia="en-US"/>
    </w:rPr>
  </w:style>
  <w:style w:type="paragraph" w:customStyle="1" w:styleId="TCTableHeading">
    <w:name w:val="T&amp;C Table Heading"/>
    <w:basedOn w:val="TCTable"/>
    <w:qFormat/>
    <w:rsid w:val="00075719"/>
    <w:rPr>
      <w:b/>
      <w:bCs/>
    </w:rPr>
  </w:style>
  <w:style w:type="table" w:styleId="TableGridLight">
    <w:name w:val="Grid Table Light"/>
    <w:basedOn w:val="TableNormal"/>
    <w:uiPriority w:val="40"/>
    <w:rsid w:val="00075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MRSchedPara2MRscP210pt">
    <w:name w:val="Style M&amp;R Sched Para 2M&amp;RscP2 + 10 pt"/>
    <w:basedOn w:val="Normal"/>
    <w:autoRedefine/>
    <w:rsid w:val="00075719"/>
    <w:pPr>
      <w:numPr>
        <w:ilvl w:val="1"/>
        <w:numId w:val="23"/>
      </w:numPr>
      <w:tabs>
        <w:tab w:val="left" w:pos="4678"/>
      </w:tabs>
      <w:spacing w:before="240" w:line="360" w:lineRule="auto"/>
      <w:jc w:val="both"/>
      <w:outlineLvl w:val="1"/>
    </w:pPr>
    <w:rPr>
      <w:rFonts w:ascii="Arial" w:eastAsia="Calibri" w:hAnsi="Arial"/>
      <w:sz w:val="20"/>
      <w:szCs w:val="22"/>
    </w:rPr>
  </w:style>
  <w:style w:type="paragraph" w:customStyle="1" w:styleId="TCNormalIndent">
    <w:name w:val="T&amp;C Normal Indent"/>
    <w:basedOn w:val="Normal"/>
    <w:qFormat/>
    <w:rsid w:val="00075719"/>
    <w:pPr>
      <w:spacing w:before="120" w:after="240"/>
      <w:ind w:left="993"/>
    </w:pPr>
    <w:rPr>
      <w:rFonts w:ascii="Arial" w:hAnsi="Arial"/>
    </w:rPr>
  </w:style>
  <w:style w:type="table" w:styleId="TableGrid">
    <w:name w:val="Table Grid"/>
    <w:basedOn w:val="TableNormal"/>
    <w:rsid w:val="001E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E4F48"/>
    <w:pPr>
      <w:keepLines/>
      <w:spacing w:before="240" w:after="0" w:line="259" w:lineRule="auto"/>
      <w:outlineLvl w:val="9"/>
    </w:pPr>
    <w:rPr>
      <w:rFonts w:asciiTheme="majorHAnsi" w:eastAsiaTheme="majorEastAsia" w:hAnsiTheme="majorHAnsi" w:cstheme="majorBidi"/>
      <w:b w:val="0"/>
      <w:bCs/>
      <w:color w:val="365F91" w:themeColor="accent1" w:themeShade="BF"/>
      <w:sz w:val="32"/>
      <w:lang w:val="en-US"/>
    </w:rPr>
  </w:style>
  <w:style w:type="character" w:styleId="Hyperlink">
    <w:name w:val="Hyperlink"/>
    <w:basedOn w:val="DefaultParagraphFont"/>
    <w:uiPriority w:val="99"/>
    <w:unhideWhenUsed/>
    <w:rsid w:val="001E4F48"/>
    <w:rPr>
      <w:color w:val="0000FF" w:themeColor="hyperlink"/>
      <w:u w:val="single"/>
    </w:rPr>
  </w:style>
  <w:style w:type="paragraph" w:styleId="TOC5">
    <w:name w:val="toc 5"/>
    <w:basedOn w:val="Normal"/>
    <w:next w:val="Normal"/>
    <w:autoRedefine/>
    <w:unhideWhenUsed/>
    <w:rsid w:val="00C6336F"/>
    <w:pPr>
      <w:ind w:left="720"/>
    </w:pPr>
    <w:rPr>
      <w:rFonts w:asciiTheme="minorHAnsi" w:hAnsiTheme="minorHAnsi" w:cstheme="minorHAnsi"/>
      <w:sz w:val="20"/>
      <w:szCs w:val="20"/>
    </w:rPr>
  </w:style>
  <w:style w:type="paragraph" w:styleId="TOC6">
    <w:name w:val="toc 6"/>
    <w:basedOn w:val="Normal"/>
    <w:next w:val="Normal"/>
    <w:autoRedefine/>
    <w:unhideWhenUsed/>
    <w:rsid w:val="00C6336F"/>
    <w:pPr>
      <w:ind w:left="960"/>
    </w:pPr>
    <w:rPr>
      <w:rFonts w:asciiTheme="minorHAnsi" w:hAnsiTheme="minorHAnsi" w:cstheme="minorHAnsi"/>
      <w:sz w:val="20"/>
      <w:szCs w:val="20"/>
    </w:rPr>
  </w:style>
  <w:style w:type="paragraph" w:styleId="TOC7">
    <w:name w:val="toc 7"/>
    <w:basedOn w:val="Normal"/>
    <w:next w:val="Normal"/>
    <w:autoRedefine/>
    <w:unhideWhenUsed/>
    <w:rsid w:val="00C6336F"/>
    <w:pPr>
      <w:ind w:left="1200"/>
    </w:pPr>
    <w:rPr>
      <w:rFonts w:asciiTheme="minorHAnsi" w:hAnsiTheme="minorHAnsi" w:cstheme="minorHAnsi"/>
      <w:sz w:val="20"/>
      <w:szCs w:val="20"/>
    </w:rPr>
  </w:style>
  <w:style w:type="paragraph" w:styleId="TOC8">
    <w:name w:val="toc 8"/>
    <w:basedOn w:val="Normal"/>
    <w:next w:val="Normal"/>
    <w:autoRedefine/>
    <w:unhideWhenUsed/>
    <w:rsid w:val="00C6336F"/>
    <w:pPr>
      <w:ind w:left="1440"/>
    </w:pPr>
    <w:rPr>
      <w:rFonts w:asciiTheme="minorHAnsi" w:hAnsiTheme="minorHAnsi" w:cstheme="minorHAnsi"/>
      <w:sz w:val="20"/>
      <w:szCs w:val="20"/>
    </w:rPr>
  </w:style>
  <w:style w:type="paragraph" w:styleId="TOC9">
    <w:name w:val="toc 9"/>
    <w:basedOn w:val="Normal"/>
    <w:next w:val="Normal"/>
    <w:autoRedefine/>
    <w:unhideWhenUsed/>
    <w:rsid w:val="00C6336F"/>
    <w:pPr>
      <w:ind w:left="1680"/>
    </w:pPr>
    <w:rPr>
      <w:rFonts w:asciiTheme="minorHAnsi" w:hAnsiTheme="minorHAnsi" w:cstheme="minorHAnsi"/>
      <w:sz w:val="20"/>
      <w:szCs w:val="20"/>
    </w:rPr>
  </w:style>
  <w:style w:type="paragraph" w:styleId="ListParagraph">
    <w:name w:val="List Paragraph"/>
    <w:basedOn w:val="Normal"/>
    <w:uiPriority w:val="34"/>
    <w:semiHidden/>
    <w:qFormat/>
    <w:rsid w:val="00B16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9B68-8405-4B3B-9357-A2801FB8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1525</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Cartwright</dc:creator>
  <cp:keywords/>
  <dc:description/>
  <cp:lastModifiedBy>Carol Cartwright</cp:lastModifiedBy>
  <cp:revision>4</cp:revision>
  <dcterms:created xsi:type="dcterms:W3CDTF">2021-06-29T13:03:00Z</dcterms:created>
  <dcterms:modified xsi:type="dcterms:W3CDTF">2021-06-30T10:36:00Z</dcterms:modified>
</cp:coreProperties>
</file>