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2B34" w14:textId="77777777" w:rsidR="00AF5F1E" w:rsidRPr="007638A5" w:rsidRDefault="00AF5F1E" w:rsidP="00AF5F1E">
      <w:pPr>
        <w:pStyle w:val="Title1"/>
      </w:pPr>
      <w:bookmarkStart w:id="0" w:name="_Hlk97664333"/>
      <w:bookmarkStart w:id="1" w:name="_Toc57729772"/>
      <w:bookmarkStart w:id="2" w:name="_Toc57729980"/>
      <w:bookmarkStart w:id="3" w:name="_Toc57796180"/>
      <w:bookmarkStart w:id="4" w:name="_Toc57729773"/>
      <w:bookmarkStart w:id="5" w:name="_Toc57729981"/>
      <w:bookmarkStart w:id="6" w:name="_Toc57796181"/>
      <w:bookmarkStart w:id="7" w:name="_Toc525825123"/>
      <w:bookmarkStart w:id="8" w:name="_Toc525830096"/>
      <w:bookmarkEnd w:id="0"/>
      <w:r w:rsidRPr="007638A5">
        <w:t>NATIONAL INSTITUTE FOR HEALTH AND CARE EXCELLENCE</w:t>
      </w:r>
      <w:bookmarkEnd w:id="1"/>
      <w:bookmarkEnd w:id="2"/>
      <w:bookmarkEnd w:id="3"/>
    </w:p>
    <w:p w14:paraId="090E703E" w14:textId="77777777" w:rsidR="00AF5F1E" w:rsidRPr="007638A5" w:rsidRDefault="00AF5F1E" w:rsidP="00AF5F1E">
      <w:pPr>
        <w:pStyle w:val="NICEnormal"/>
      </w:pPr>
    </w:p>
    <w:p w14:paraId="09F4A1DD" w14:textId="77777777" w:rsidR="00AF5F1E" w:rsidRPr="007638A5" w:rsidRDefault="00AF5F1E" w:rsidP="00AF5F1E">
      <w:pPr>
        <w:pStyle w:val="NICEnormal"/>
      </w:pPr>
    </w:p>
    <w:p w14:paraId="08F25CA0" w14:textId="77777777" w:rsidR="00AF5F1E" w:rsidRPr="007638A5" w:rsidRDefault="00AF5F1E" w:rsidP="00AF5F1E">
      <w:pPr>
        <w:pStyle w:val="Title1"/>
      </w:pPr>
      <w:r w:rsidRPr="007638A5">
        <w:t>EVIDENCE STANDARDS FRAMEWORK FOR DIGITAL HEALTH TECHNOLOGIES</w:t>
      </w:r>
    </w:p>
    <w:p w14:paraId="41905B98" w14:textId="41109132" w:rsidR="00E90F9E" w:rsidRPr="007638A5" w:rsidRDefault="004C7EBF" w:rsidP="009F1F47">
      <w:pPr>
        <w:pStyle w:val="Title2"/>
      </w:pPr>
      <w:r w:rsidRPr="007638A5">
        <w:t>Draft for feedback pre-</w:t>
      </w:r>
      <w:r w:rsidR="00157634" w:rsidRPr="007638A5">
        <w:t>consultation April</w:t>
      </w:r>
      <w:r w:rsidR="00CD480C" w:rsidRPr="007638A5">
        <w:t xml:space="preserve"> </w:t>
      </w:r>
      <w:r w:rsidR="00AF5F1E" w:rsidRPr="007638A5">
        <w:t>202</w:t>
      </w:r>
      <w:bookmarkEnd w:id="4"/>
      <w:bookmarkEnd w:id="5"/>
      <w:bookmarkEnd w:id="6"/>
      <w:r w:rsidR="00157634" w:rsidRPr="007638A5">
        <w:t>2</w:t>
      </w:r>
    </w:p>
    <w:p w14:paraId="6B65F389" w14:textId="69B501A5" w:rsidR="00285695" w:rsidRPr="007638A5" w:rsidRDefault="00285695" w:rsidP="00DF58B2">
      <w:pPr>
        <w:pStyle w:val="NICEnormal"/>
      </w:pPr>
      <w:r w:rsidRPr="007638A5">
        <w:br w:type="page"/>
      </w:r>
    </w:p>
    <w:p w14:paraId="0D261E1A" w14:textId="77777777" w:rsidR="00AF37B3" w:rsidRPr="007638A5" w:rsidRDefault="00AF37B3" w:rsidP="00AF37B3">
      <w:pPr>
        <w:pStyle w:val="Heading1"/>
        <w:rPr>
          <w:lang w:val="en-GB"/>
        </w:rPr>
      </w:pPr>
      <w:bookmarkStart w:id="9" w:name="_Toc57796184"/>
      <w:bookmarkEnd w:id="7"/>
      <w:bookmarkEnd w:id="8"/>
      <w:r w:rsidRPr="007638A5">
        <w:rPr>
          <w:lang w:val="en-GB"/>
        </w:rPr>
        <w:lastRenderedPageBreak/>
        <w:t>Introduction</w:t>
      </w:r>
      <w:bookmarkEnd w:id="9"/>
    </w:p>
    <w:p w14:paraId="4292961C" w14:textId="352D3F0C" w:rsidR="00C266FD" w:rsidRPr="007638A5" w:rsidRDefault="0045727E" w:rsidP="00F33670">
      <w:pPr>
        <w:pStyle w:val="NICEnormal"/>
      </w:pPr>
      <w:r w:rsidRPr="007638A5">
        <w:t>Th</w:t>
      </w:r>
      <w:r w:rsidR="00CA444F" w:rsidRPr="007638A5">
        <w:t>e NICE evidence standards framework</w:t>
      </w:r>
      <w:r w:rsidR="00157634" w:rsidRPr="007638A5">
        <w:t xml:space="preserve"> (ESF)</w:t>
      </w:r>
      <w:r w:rsidR="00CA444F" w:rsidRPr="007638A5">
        <w:t xml:space="preserve"> for</w:t>
      </w:r>
      <w:r w:rsidR="0022560F">
        <w:t xml:space="preserve"> </w:t>
      </w:r>
      <w:r w:rsidR="0022560F" w:rsidRPr="0022560F">
        <w:t>digital health technologies</w:t>
      </w:r>
      <w:r w:rsidR="00CA444F" w:rsidRPr="007638A5">
        <w:t xml:space="preserve"> </w:t>
      </w:r>
      <w:r w:rsidR="00FD20DE" w:rsidRPr="007638A5">
        <w:t>(DHTs)</w:t>
      </w:r>
      <w:r w:rsidR="00E5084C" w:rsidRPr="007638A5">
        <w:t xml:space="preserve"> </w:t>
      </w:r>
      <w:r w:rsidR="00CA444F" w:rsidRPr="007638A5">
        <w:t xml:space="preserve">describes </w:t>
      </w:r>
      <w:r w:rsidR="00FD20DE" w:rsidRPr="007638A5">
        <w:t xml:space="preserve">standards for the evidence that should be available or developed for DHTs to demonstrate their value in the UK health and social care system. </w:t>
      </w:r>
      <w:r w:rsidR="006A1268" w:rsidRPr="007638A5">
        <w:t>Th</w:t>
      </w:r>
      <w:r w:rsidR="00FD20DE" w:rsidRPr="007638A5">
        <w:t>e framework encompasses</w:t>
      </w:r>
      <w:r w:rsidR="006A1268" w:rsidRPr="007638A5">
        <w:t xml:space="preserve"> evidence of </w:t>
      </w:r>
      <w:r w:rsidR="00FD20DE" w:rsidRPr="007638A5">
        <w:t>performance</w:t>
      </w:r>
      <w:r w:rsidR="006A1268" w:rsidRPr="007638A5">
        <w:t xml:space="preserve"> relevant to the</w:t>
      </w:r>
      <w:r w:rsidR="00157634" w:rsidRPr="007638A5">
        <w:t xml:space="preserve"> purpose </w:t>
      </w:r>
      <w:r w:rsidR="006A1268" w:rsidRPr="007638A5">
        <w:t>of the technology and evidence of economic impact relative to the financial risk.</w:t>
      </w:r>
      <w:r w:rsidR="00FD20DE" w:rsidRPr="007638A5">
        <w:t xml:space="preserve"> This </w:t>
      </w:r>
      <w:r w:rsidR="00C435D1">
        <w:t xml:space="preserve">ESF </w:t>
      </w:r>
      <w:r w:rsidR="001A4147">
        <w:t xml:space="preserve">update </w:t>
      </w:r>
      <w:r w:rsidR="00FD20DE" w:rsidRPr="007638A5">
        <w:t xml:space="preserve">also includes </w:t>
      </w:r>
      <w:r w:rsidR="00E5084C" w:rsidRPr="007638A5">
        <w:t xml:space="preserve">associated </w:t>
      </w:r>
      <w:r w:rsidR="00024B9D" w:rsidRPr="007638A5">
        <w:t xml:space="preserve">design </w:t>
      </w:r>
      <w:r w:rsidR="00986414" w:rsidRPr="007638A5">
        <w:t xml:space="preserve">factors </w:t>
      </w:r>
      <w:r w:rsidR="00024B9D" w:rsidRPr="007638A5">
        <w:t>and deployment considerations</w:t>
      </w:r>
      <w:r w:rsidR="00E5084C" w:rsidRPr="007638A5">
        <w:t>.</w:t>
      </w:r>
      <w:r w:rsidR="00024B9D" w:rsidRPr="007638A5">
        <w:t xml:space="preserve"> </w:t>
      </w:r>
    </w:p>
    <w:p w14:paraId="1BD49454" w14:textId="787CA3A2" w:rsidR="00E5084C" w:rsidRPr="007638A5" w:rsidRDefault="00E5084C" w:rsidP="00E5084C">
      <w:pPr>
        <w:pStyle w:val="NICEnormal"/>
      </w:pPr>
      <w:r w:rsidRPr="007638A5">
        <w:t xml:space="preserve">The ESF can be used by </w:t>
      </w:r>
      <w:r w:rsidR="00AC5EA6">
        <w:t>evaluator</w:t>
      </w:r>
      <w:r w:rsidRPr="007638A5">
        <w:t>s and innovation teams in the NHS and care system when they are evaluating a DHT for a commissioning</w:t>
      </w:r>
      <w:r w:rsidR="00826116">
        <w:t xml:space="preserve"> or </w:t>
      </w:r>
      <w:r w:rsidRPr="007638A5">
        <w:t>purchasing decision. This will enable high</w:t>
      </w:r>
      <w:r w:rsidR="001A4147">
        <w:t>-</w:t>
      </w:r>
      <w:r w:rsidRPr="007638A5">
        <w:t>quality innovation to be identified and used in the UK.</w:t>
      </w:r>
      <w:r w:rsidR="00570216" w:rsidRPr="007638A5">
        <w:t xml:space="preserve"> </w:t>
      </w:r>
      <w:r w:rsidR="006713A1" w:rsidRPr="006713A1">
        <w:t>NICE considers the evidence outlined in the ESF when developing medical technologies guidance and diagnostics guidance on DHTs.</w:t>
      </w:r>
    </w:p>
    <w:p w14:paraId="454B1975" w14:textId="609E8505" w:rsidR="00E5084C" w:rsidRPr="007638A5" w:rsidRDefault="00E5084C" w:rsidP="00E5084C">
      <w:pPr>
        <w:pStyle w:val="NICEnormal"/>
      </w:pPr>
      <w:r w:rsidRPr="007638A5">
        <w:t xml:space="preserve">The ESF can also be used by DHT companies to understand how the UK health and care system evaluates DHTs, and what kinds of evidence need to be shown to </w:t>
      </w:r>
      <w:r w:rsidR="003D2FAA">
        <w:t xml:space="preserve">facilitate </w:t>
      </w:r>
      <w:r w:rsidRPr="007638A5">
        <w:t>commission</w:t>
      </w:r>
      <w:r w:rsidR="003D2FAA">
        <w:t>ing</w:t>
      </w:r>
      <w:r w:rsidR="00282BC0">
        <w:t xml:space="preserve"> or </w:t>
      </w:r>
      <w:r w:rsidR="003D2FAA">
        <w:t>purchasing decisions</w:t>
      </w:r>
      <w:r w:rsidRPr="007638A5">
        <w:t xml:space="preserve"> in the NHS and care system. </w:t>
      </w:r>
    </w:p>
    <w:p w14:paraId="0D0B7527" w14:textId="74FA0977" w:rsidR="00117550" w:rsidRPr="007638A5" w:rsidRDefault="00B22597" w:rsidP="00117550">
      <w:pPr>
        <w:pStyle w:val="NICEnormal"/>
      </w:pPr>
      <w:r w:rsidRPr="007638A5">
        <w:t xml:space="preserve">The ESF has been designed to complement the expected regulatory and technical standards </w:t>
      </w:r>
      <w:r w:rsidR="001A4147">
        <w:t>that</w:t>
      </w:r>
      <w:r w:rsidR="001A4147" w:rsidRPr="007638A5">
        <w:t xml:space="preserve"> </w:t>
      </w:r>
      <w:r w:rsidRPr="007638A5">
        <w:t xml:space="preserve">apply to </w:t>
      </w:r>
      <w:r w:rsidR="001A4147">
        <w:t>DHTs</w:t>
      </w:r>
      <w:r w:rsidRPr="007638A5">
        <w:t xml:space="preserve">. </w:t>
      </w:r>
      <w:r w:rsidR="008D7952" w:rsidRPr="007638A5">
        <w:t>The</w:t>
      </w:r>
      <w:r w:rsidRPr="007638A5">
        <w:t xml:space="preserve"> </w:t>
      </w:r>
      <w:r w:rsidR="008D7952" w:rsidRPr="007638A5">
        <w:t xml:space="preserve">framework </w:t>
      </w:r>
      <w:r w:rsidR="00D10E18">
        <w:t xml:space="preserve">focuses on </w:t>
      </w:r>
      <w:r w:rsidR="008D7952" w:rsidRPr="007638A5">
        <w:t>evaluati</w:t>
      </w:r>
      <w:r w:rsidR="00D10E18">
        <w:t xml:space="preserve">ng </w:t>
      </w:r>
      <w:r w:rsidR="008D7952" w:rsidRPr="007638A5">
        <w:t>DHTs to ensure they</w:t>
      </w:r>
      <w:r w:rsidR="00157634" w:rsidRPr="007638A5">
        <w:t xml:space="preserve"> perform as expected</w:t>
      </w:r>
      <w:r w:rsidR="008D7952" w:rsidRPr="007638A5">
        <w:t xml:space="preserve"> and</w:t>
      </w:r>
      <w:r w:rsidR="00157634" w:rsidRPr="007638A5">
        <w:t xml:space="preserve"> represent</w:t>
      </w:r>
      <w:r w:rsidR="008D7952" w:rsidRPr="007638A5">
        <w:t xml:space="preserve"> good value for money</w:t>
      </w:r>
      <w:r w:rsidR="00C33AF7" w:rsidRPr="007638A5">
        <w:t xml:space="preserve"> to the health and care system</w:t>
      </w:r>
      <w:r w:rsidR="008D7952" w:rsidRPr="007638A5">
        <w:t xml:space="preserve">. </w:t>
      </w:r>
      <w:r w:rsidR="002E3530" w:rsidRPr="007638A5">
        <w:t xml:space="preserve">The evidence </w:t>
      </w:r>
      <w:r w:rsidR="00146720" w:rsidRPr="007638A5">
        <w:t xml:space="preserve">for performance </w:t>
      </w:r>
      <w:r w:rsidR="002E3530" w:rsidRPr="007638A5">
        <w:t>standards ha</w:t>
      </w:r>
      <w:r w:rsidR="00164BCE" w:rsidRPr="007638A5">
        <w:t>s</w:t>
      </w:r>
      <w:r w:rsidR="002E3530" w:rsidRPr="007638A5">
        <w:t xml:space="preserve"> been set at levels that are intended to be realistic and achievable for DHT </w:t>
      </w:r>
      <w:r w:rsidR="00AC5EA6">
        <w:t>companies</w:t>
      </w:r>
      <w:r w:rsidR="002E3530" w:rsidRPr="007638A5">
        <w:t xml:space="preserve">, while being of a sufficiently high standard to give the </w:t>
      </w:r>
      <w:r w:rsidR="003625B4" w:rsidRPr="007638A5">
        <w:t>health and social care</w:t>
      </w:r>
      <w:r w:rsidR="002E3530" w:rsidRPr="007638A5">
        <w:t xml:space="preserve"> system confidence in the DHT. This </w:t>
      </w:r>
      <w:r w:rsidR="00330A9F" w:rsidRPr="007638A5">
        <w:t xml:space="preserve">balance is intended to encourage the confident use of innovative, effective DHTs in the </w:t>
      </w:r>
      <w:r w:rsidR="003625B4" w:rsidRPr="007638A5">
        <w:t>health and social care</w:t>
      </w:r>
      <w:r w:rsidR="00330A9F" w:rsidRPr="007638A5">
        <w:t xml:space="preserve"> system. The standards</w:t>
      </w:r>
      <w:r w:rsidR="00157634" w:rsidRPr="007638A5">
        <w:t xml:space="preserve"> about delivering value </w:t>
      </w:r>
      <w:r w:rsidR="00330A9F" w:rsidRPr="007638A5">
        <w:t xml:space="preserve">are based on the </w:t>
      </w:r>
      <w:r w:rsidR="00157634" w:rsidRPr="007638A5">
        <w:t xml:space="preserve">guidance </w:t>
      </w:r>
      <w:r w:rsidR="00330A9F" w:rsidRPr="007638A5">
        <w:t>evaluation</w:t>
      </w:r>
      <w:r w:rsidR="0065200A" w:rsidRPr="007638A5">
        <w:t xml:space="preserve"> methods used </w:t>
      </w:r>
      <w:r w:rsidR="00330A9F" w:rsidRPr="007638A5">
        <w:t xml:space="preserve">at </w:t>
      </w:r>
      <w:proofErr w:type="gramStart"/>
      <w:r w:rsidR="00330A9F" w:rsidRPr="007638A5">
        <w:t>NICE,</w:t>
      </w:r>
      <w:r w:rsidR="002523D1" w:rsidRPr="007638A5">
        <w:t xml:space="preserve"> </w:t>
      </w:r>
      <w:r w:rsidR="00330A9F" w:rsidRPr="007638A5">
        <w:t>and</w:t>
      </w:r>
      <w:proofErr w:type="gramEnd"/>
      <w:r w:rsidR="00330A9F" w:rsidRPr="007638A5">
        <w:t xml:space="preserve"> are designed to assess the economic impact of a DHT. We have designed this </w:t>
      </w:r>
      <w:r w:rsidR="004D31C0" w:rsidRPr="007638A5">
        <w:t xml:space="preserve">framework </w:t>
      </w:r>
      <w:r w:rsidR="00330A9F" w:rsidRPr="007638A5">
        <w:t xml:space="preserve">within the context of a </w:t>
      </w:r>
      <w:r w:rsidR="003625B4" w:rsidRPr="007638A5">
        <w:t>health and social care</w:t>
      </w:r>
      <w:r w:rsidR="00330A9F" w:rsidRPr="007638A5">
        <w:t xml:space="preserve"> system that is seeking innovative ways to improve care while reducing cost burden on the system.</w:t>
      </w:r>
      <w:r w:rsidR="00117550" w:rsidRPr="007638A5">
        <w:t xml:space="preserve"> </w:t>
      </w:r>
    </w:p>
    <w:p w14:paraId="73E649A9" w14:textId="6A9E6BF5" w:rsidR="00117550" w:rsidRPr="007638A5" w:rsidRDefault="00117550" w:rsidP="00F33670">
      <w:pPr>
        <w:pStyle w:val="NICEnormal"/>
      </w:pPr>
      <w:r w:rsidRPr="007638A5">
        <w:t>The development of the medical device regulatory framework and evaluation methods for DHTs</w:t>
      </w:r>
      <w:r w:rsidR="00DA2F5F">
        <w:t>,</w:t>
      </w:r>
      <w:r w:rsidRPr="007638A5">
        <w:t xml:space="preserve"> particularly those with adaptive algorithms</w:t>
      </w:r>
      <w:r w:rsidR="00DA2F5F">
        <w:t>,</w:t>
      </w:r>
      <w:r w:rsidRPr="007638A5">
        <w:t xml:space="preserve"> is</w:t>
      </w:r>
      <w:r w:rsidR="000938B7" w:rsidRPr="007638A5">
        <w:t xml:space="preserve"> progressing rapidly</w:t>
      </w:r>
      <w:r w:rsidRPr="007638A5">
        <w:t xml:space="preserve"> </w:t>
      </w:r>
      <w:r w:rsidRPr="007638A5">
        <w:lastRenderedPageBreak/>
        <w:t>and we expect that the ESF will be updated</w:t>
      </w:r>
      <w:r w:rsidR="000938B7" w:rsidRPr="007638A5">
        <w:t xml:space="preserve"> to reflect the changes in the health technology assessment landscape for these technologies.</w:t>
      </w:r>
    </w:p>
    <w:p w14:paraId="6C4578AA" w14:textId="6B3B3531" w:rsidR="0045727E" w:rsidRPr="007638A5" w:rsidRDefault="008A1E4F" w:rsidP="009D337B">
      <w:pPr>
        <w:pStyle w:val="NICEnormal"/>
      </w:pPr>
      <w:r w:rsidRPr="007638A5">
        <w:t xml:space="preserve">NICE is grateful to the </w:t>
      </w:r>
      <w:r w:rsidR="0045727E" w:rsidRPr="007638A5">
        <w:t xml:space="preserve">wide range of stakeholders </w:t>
      </w:r>
      <w:r w:rsidRPr="007638A5">
        <w:t xml:space="preserve">who helped develop </w:t>
      </w:r>
      <w:r w:rsidR="0045727E" w:rsidRPr="007638A5">
        <w:t>the concepts and content</w:t>
      </w:r>
      <w:r w:rsidRPr="007638A5">
        <w:t xml:space="preserve">, and to </w:t>
      </w:r>
      <w:r w:rsidR="004D31C0" w:rsidRPr="007638A5">
        <w:t xml:space="preserve">all </w:t>
      </w:r>
      <w:r w:rsidRPr="007638A5">
        <w:t xml:space="preserve">those who </w:t>
      </w:r>
      <w:r w:rsidR="004D31C0" w:rsidRPr="007638A5">
        <w:t xml:space="preserve">have </w:t>
      </w:r>
      <w:r w:rsidRPr="007638A5">
        <w:t>provide</w:t>
      </w:r>
      <w:r w:rsidR="00C753FC" w:rsidRPr="007638A5">
        <w:t>d</w:t>
      </w:r>
      <w:r w:rsidRPr="007638A5">
        <w:t xml:space="preserve"> feedback on the </w:t>
      </w:r>
      <w:r w:rsidR="004D31C0" w:rsidRPr="007638A5">
        <w:t xml:space="preserve">ESF since it </w:t>
      </w:r>
      <w:r w:rsidR="00024B9D" w:rsidRPr="007638A5">
        <w:t xml:space="preserve">first </w:t>
      </w:r>
      <w:r w:rsidR="004D31C0" w:rsidRPr="007638A5">
        <w:t>published</w:t>
      </w:r>
      <w:r w:rsidRPr="007638A5">
        <w:t xml:space="preserve"> </w:t>
      </w:r>
      <w:r w:rsidR="00AC454B" w:rsidRPr="007638A5">
        <w:t xml:space="preserve">in </w:t>
      </w:r>
      <w:r w:rsidRPr="007638A5">
        <w:t>December 2018.</w:t>
      </w:r>
    </w:p>
    <w:p w14:paraId="63218DDA" w14:textId="64A074FD" w:rsidR="00BE3B37" w:rsidRPr="007638A5" w:rsidRDefault="00BE3B37" w:rsidP="00BE3B37">
      <w:pPr>
        <w:pStyle w:val="NICEnormal"/>
      </w:pPr>
      <w:r w:rsidRPr="007638A5">
        <w:t xml:space="preserve">Find out more details about the development and use of the ESF in the </w:t>
      </w:r>
      <w:hyperlink r:id="rId8" w:history="1">
        <w:r w:rsidRPr="007638A5">
          <w:rPr>
            <w:rStyle w:val="Hyperlink"/>
          </w:rPr>
          <w:t>ESF user guide</w:t>
        </w:r>
      </w:hyperlink>
      <w:r w:rsidRPr="00AF6E34">
        <w:t>.</w:t>
      </w:r>
    </w:p>
    <w:p w14:paraId="3961EE8E" w14:textId="215F75CE" w:rsidR="00581647" w:rsidRPr="007638A5" w:rsidRDefault="00581647" w:rsidP="009F1F47">
      <w:pPr>
        <w:pStyle w:val="NICEnormal"/>
      </w:pPr>
      <w:r w:rsidRPr="007638A5">
        <w:t xml:space="preserve">The ESF is presented here in 4 sections: </w:t>
      </w:r>
    </w:p>
    <w:p w14:paraId="66371E40" w14:textId="2C41B743" w:rsidR="00581647" w:rsidRPr="007638A5" w:rsidRDefault="003E2578" w:rsidP="009F1F47">
      <w:pPr>
        <w:pStyle w:val="Bulletleft1"/>
      </w:pPr>
      <w:hyperlink w:anchor="_Section_A:_Technologies" w:history="1">
        <w:r w:rsidR="00581647" w:rsidRPr="009D337B">
          <w:rPr>
            <w:rStyle w:val="Hyperlink"/>
          </w:rPr>
          <w:t>Section A</w:t>
        </w:r>
        <w:r w:rsidR="00D47145" w:rsidRPr="009D337B">
          <w:rPr>
            <w:rStyle w:val="Hyperlink"/>
          </w:rPr>
          <w:t xml:space="preserve">: </w:t>
        </w:r>
        <w:r w:rsidR="00C5429C" w:rsidRPr="009D337B">
          <w:rPr>
            <w:rStyle w:val="Hyperlink"/>
          </w:rPr>
          <w:t xml:space="preserve">Technologies suitable for </w:t>
        </w:r>
        <w:r w:rsidR="00994CF3">
          <w:rPr>
            <w:rStyle w:val="Hyperlink"/>
          </w:rPr>
          <w:t xml:space="preserve">evaluation using </w:t>
        </w:r>
        <w:r w:rsidR="00C5429C" w:rsidRPr="009D337B">
          <w:rPr>
            <w:rStyle w:val="Hyperlink"/>
          </w:rPr>
          <w:t>the ESF</w:t>
        </w:r>
      </w:hyperlink>
    </w:p>
    <w:p w14:paraId="4B395DE3" w14:textId="1611E04F" w:rsidR="00D47145" w:rsidRPr="007638A5" w:rsidRDefault="003E2578" w:rsidP="009F1F47">
      <w:pPr>
        <w:pStyle w:val="Bulletleft1"/>
      </w:pPr>
      <w:hyperlink w:anchor="_Section_B:_Classification" w:history="1">
        <w:r w:rsidR="00D47145" w:rsidRPr="009D337B">
          <w:rPr>
            <w:rStyle w:val="Hyperlink"/>
          </w:rPr>
          <w:t>Section B: Classification of technologies</w:t>
        </w:r>
      </w:hyperlink>
    </w:p>
    <w:p w14:paraId="1107701B" w14:textId="2F07BB8A" w:rsidR="00D47145" w:rsidRPr="007638A5" w:rsidRDefault="003E2578" w:rsidP="009F1F47">
      <w:pPr>
        <w:pStyle w:val="Bulletleft1"/>
      </w:pPr>
      <w:hyperlink w:anchor="_Section_C:_Evidence" w:history="1">
        <w:r w:rsidR="00D47145" w:rsidRPr="00CB7C79">
          <w:rPr>
            <w:rStyle w:val="Hyperlink"/>
          </w:rPr>
          <w:t xml:space="preserve">Section C: Evidence </w:t>
        </w:r>
        <w:r w:rsidR="00CB7C79" w:rsidRPr="00CB7C79">
          <w:rPr>
            <w:rStyle w:val="Hyperlink"/>
          </w:rPr>
          <w:t>s</w:t>
        </w:r>
        <w:r w:rsidR="00D47145" w:rsidRPr="00CB7C79">
          <w:rPr>
            <w:rStyle w:val="Hyperlink"/>
          </w:rPr>
          <w:t>tandards</w:t>
        </w:r>
        <w:r w:rsidR="00CB7C79" w:rsidRPr="00CB7C79">
          <w:rPr>
            <w:rStyle w:val="Hyperlink"/>
          </w:rPr>
          <w:t xml:space="preserve"> tables</w:t>
        </w:r>
      </w:hyperlink>
    </w:p>
    <w:p w14:paraId="23E27E4C" w14:textId="26951903" w:rsidR="00D47145" w:rsidRPr="007638A5" w:rsidRDefault="003E2578" w:rsidP="009F1F47">
      <w:pPr>
        <w:pStyle w:val="Bulletleft1last"/>
      </w:pPr>
      <w:hyperlink w:anchor="_Section_D:_Early" w:history="1">
        <w:r w:rsidR="00D47145" w:rsidRPr="00AF6E34">
          <w:rPr>
            <w:rStyle w:val="Hyperlink"/>
          </w:rPr>
          <w:t xml:space="preserve">Section D: </w:t>
        </w:r>
        <w:r w:rsidR="00836079" w:rsidRPr="00AF6E34">
          <w:rPr>
            <w:rStyle w:val="Hyperlink"/>
          </w:rPr>
          <w:t>Early deployment standards for evidence</w:t>
        </w:r>
        <w:r w:rsidR="00482D30">
          <w:rPr>
            <w:rStyle w:val="Hyperlink"/>
          </w:rPr>
          <w:t>-</w:t>
        </w:r>
        <w:r w:rsidR="00836079" w:rsidRPr="00AF6E34" w:rsidDel="00482D30">
          <w:rPr>
            <w:rStyle w:val="Hyperlink"/>
          </w:rPr>
          <w:t xml:space="preserve"> </w:t>
        </w:r>
        <w:r w:rsidR="00836079" w:rsidRPr="00AF6E34">
          <w:rPr>
            <w:rStyle w:val="Hyperlink"/>
          </w:rPr>
          <w:t xml:space="preserve">generation programmes </w:t>
        </w:r>
      </w:hyperlink>
    </w:p>
    <w:p w14:paraId="20FD6C59" w14:textId="04CDAA7C" w:rsidR="007C0D21" w:rsidRPr="007638A5" w:rsidRDefault="003509DC" w:rsidP="00146720">
      <w:r w:rsidRPr="007638A5">
        <w:br w:type="page"/>
      </w:r>
      <w:bookmarkStart w:id="10" w:name="_Toc57796185"/>
    </w:p>
    <w:p w14:paraId="5D7970FD" w14:textId="3532D49B" w:rsidR="003509DC" w:rsidRPr="007638A5" w:rsidRDefault="00C910D0" w:rsidP="003509DC">
      <w:pPr>
        <w:pStyle w:val="Heading1"/>
        <w:rPr>
          <w:lang w:val="en-GB"/>
        </w:rPr>
      </w:pPr>
      <w:bookmarkStart w:id="11" w:name="_Section_A:_Technologies"/>
      <w:bookmarkEnd w:id="11"/>
      <w:r w:rsidRPr="007638A5">
        <w:rPr>
          <w:lang w:val="en-GB"/>
        </w:rPr>
        <w:lastRenderedPageBreak/>
        <w:t xml:space="preserve">Section A: </w:t>
      </w:r>
      <w:r w:rsidR="000A5343" w:rsidRPr="007638A5">
        <w:rPr>
          <w:lang w:val="en-GB"/>
        </w:rPr>
        <w:t>Technologies</w:t>
      </w:r>
      <w:r w:rsidR="00747A52" w:rsidRPr="007638A5">
        <w:rPr>
          <w:lang w:val="en-GB"/>
        </w:rPr>
        <w:t xml:space="preserve"> suitable for </w:t>
      </w:r>
      <w:r w:rsidR="00994CF3">
        <w:rPr>
          <w:lang w:val="en-GB"/>
        </w:rPr>
        <w:t xml:space="preserve">evaluation using </w:t>
      </w:r>
      <w:r w:rsidR="00747A52" w:rsidRPr="007638A5">
        <w:rPr>
          <w:lang w:val="en-GB"/>
        </w:rPr>
        <w:t xml:space="preserve">the </w:t>
      </w:r>
      <w:bookmarkEnd w:id="10"/>
      <w:r w:rsidR="008D7952" w:rsidRPr="007638A5">
        <w:rPr>
          <w:lang w:val="en-GB"/>
        </w:rPr>
        <w:t>ESF</w:t>
      </w:r>
    </w:p>
    <w:p w14:paraId="5FAB0378" w14:textId="5F1C6735" w:rsidR="00B972E8" w:rsidRDefault="003509DC" w:rsidP="009441CB">
      <w:pPr>
        <w:pStyle w:val="NICEnormal"/>
      </w:pPr>
      <w:r w:rsidRPr="007638A5">
        <w:t xml:space="preserve">The </w:t>
      </w:r>
      <w:r w:rsidR="00D47145" w:rsidRPr="007638A5">
        <w:t xml:space="preserve">NICE evidence standards framework </w:t>
      </w:r>
      <w:r w:rsidR="00C81F2A">
        <w:t xml:space="preserve">(ESF) </w:t>
      </w:r>
      <w:r w:rsidR="00D47145" w:rsidRPr="007638A5">
        <w:t>has been designed to be suitable for</w:t>
      </w:r>
      <w:r w:rsidR="004D0155" w:rsidRPr="007638A5">
        <w:t xml:space="preserve"> </w:t>
      </w:r>
      <w:r w:rsidR="00692F4C">
        <w:t xml:space="preserve">the evaluation of </w:t>
      </w:r>
      <w:r w:rsidR="004D0155" w:rsidRPr="007638A5">
        <w:t xml:space="preserve">most </w:t>
      </w:r>
      <w:r w:rsidR="00C81F2A" w:rsidRPr="00C81F2A">
        <w:t xml:space="preserve">digital health technologies </w:t>
      </w:r>
      <w:r w:rsidR="00C81F2A">
        <w:t>(</w:t>
      </w:r>
      <w:r w:rsidR="004D0155" w:rsidRPr="007638A5">
        <w:t>DHTs</w:t>
      </w:r>
      <w:r w:rsidR="00C81F2A">
        <w:t xml:space="preserve">) that </w:t>
      </w:r>
      <w:r w:rsidR="004D0155" w:rsidRPr="007638A5">
        <w:t>are likely to be commissioned in the UK health and social care system</w:t>
      </w:r>
      <w:r w:rsidR="009441CB" w:rsidRPr="007638A5">
        <w:t>.</w:t>
      </w:r>
      <w:r w:rsidR="00EF494E" w:rsidRPr="007638A5">
        <w:t xml:space="preserve"> </w:t>
      </w:r>
      <w:r w:rsidR="00B972E8">
        <w:t>This includes</w:t>
      </w:r>
      <w:r w:rsidR="00B972E8" w:rsidRPr="007638A5">
        <w:t xml:space="preserve"> a wide range of products used in the health and social care system, including apps, software and online platforms that are intended to benefit people or the wider health and social care system. </w:t>
      </w:r>
      <w:r w:rsidR="00B972E8">
        <w:t>DHTs</w:t>
      </w:r>
      <w:r w:rsidR="00B972E8" w:rsidRPr="007638A5">
        <w:t xml:space="preserve"> may be standalone</w:t>
      </w:r>
      <w:r w:rsidR="00B972E8">
        <w:t xml:space="preserve"> apps or programmes</w:t>
      </w:r>
      <w:r w:rsidR="00B972E8" w:rsidRPr="007638A5">
        <w:t>, wearables</w:t>
      </w:r>
      <w:r w:rsidR="00B972E8">
        <w:t>,</w:t>
      </w:r>
      <w:r w:rsidR="00B972E8" w:rsidRPr="007638A5">
        <w:t xml:space="preserve"> or </w:t>
      </w:r>
      <w:r w:rsidR="00B972E8">
        <w:t>be designed as optional accessories to</w:t>
      </w:r>
      <w:r w:rsidR="00B972E8" w:rsidRPr="007638A5">
        <w:t xml:space="preserve"> other products such as medical devices or diagnostic tests.</w:t>
      </w:r>
    </w:p>
    <w:p w14:paraId="5F9E9327" w14:textId="3CE11C57" w:rsidR="000A728B" w:rsidRDefault="000A728B" w:rsidP="000A728B">
      <w:pPr>
        <w:pStyle w:val="NICEnormal"/>
      </w:pPr>
      <w:r w:rsidRPr="007638A5">
        <w:t xml:space="preserve">The ESF </w:t>
      </w:r>
      <w:r>
        <w:t>can be used to evaluate</w:t>
      </w:r>
      <w:r w:rsidRPr="007638A5">
        <w:t xml:space="preserve"> all DHTs </w:t>
      </w:r>
      <w:r>
        <w:t>commissioned in the health and care system</w:t>
      </w:r>
      <w:r w:rsidRPr="007638A5">
        <w:t xml:space="preserve"> for medical, health or wellness, or system efficiency purposes. It is applicable to medical therapeutic and diagnostic technologies including in vitro diagnostics (IVDs) and screening technologies. The ESF can be used for technologies where the intended benefit is at the population level as well as those </w:t>
      </w:r>
      <w:r>
        <w:t>that</w:t>
      </w:r>
      <w:r w:rsidRPr="007638A5">
        <w:t xml:space="preserve"> benefit the individual </w:t>
      </w:r>
      <w:r>
        <w:t>service user</w:t>
      </w:r>
      <w:r w:rsidRPr="007638A5">
        <w:t xml:space="preserve"> or the health and care system. </w:t>
      </w:r>
    </w:p>
    <w:p w14:paraId="2C0D0C53" w14:textId="3563400B" w:rsidR="000A728B" w:rsidRDefault="000A728B" w:rsidP="000A728B">
      <w:pPr>
        <w:pStyle w:val="NICEnormal"/>
      </w:pPr>
      <w:r>
        <w:t xml:space="preserve">The ESF is intended to be used alongside requirements for regulation and does not constitute or replace any regulatory process. </w:t>
      </w:r>
      <w:r w:rsidR="001B53CA">
        <w:t xml:space="preserve">It </w:t>
      </w:r>
      <w:r>
        <w:t xml:space="preserve">can be used to evaluate DHTs that are regulated as medical devices under the </w:t>
      </w:r>
      <w:hyperlink r:id="rId9" w:history="1">
        <w:r w:rsidRPr="00D652F2">
          <w:rPr>
            <w:rStyle w:val="Hyperlink"/>
          </w:rPr>
          <w:t>Medicines and Healthcare products Regulatory Agency</w:t>
        </w:r>
      </w:hyperlink>
      <w:r>
        <w:t xml:space="preserve"> (MHRA), those that constitute health and care services within remit for regulation by the </w:t>
      </w:r>
      <w:hyperlink r:id="rId10" w:history="1">
        <w:r w:rsidRPr="001B53CA">
          <w:rPr>
            <w:rStyle w:val="Hyperlink"/>
          </w:rPr>
          <w:t>Care Quality Commission</w:t>
        </w:r>
      </w:hyperlink>
      <w:r>
        <w:t xml:space="preserve"> (CQC), and those DHTs that do not fall within remit for any specific UK regulation. </w:t>
      </w:r>
      <w:r w:rsidR="001B53CA">
        <w:t xml:space="preserve">The </w:t>
      </w:r>
      <w:r w:rsidR="00D652F2" w:rsidRPr="007638A5">
        <w:t>MHRA has issued</w:t>
      </w:r>
      <w:r w:rsidR="00D652F2">
        <w:t xml:space="preserve"> </w:t>
      </w:r>
      <w:hyperlink r:id="rId11" w:history="1">
        <w:r w:rsidR="00D652F2" w:rsidRPr="001B53CA">
          <w:rPr>
            <w:rStyle w:val="Hyperlink"/>
            <w:rFonts w:cs="Arial"/>
          </w:rPr>
          <w:t>guidance on medical devices: software applications (apps)</w:t>
        </w:r>
      </w:hyperlink>
      <w:r w:rsidR="00D652F2" w:rsidRPr="007638A5">
        <w:t xml:space="preserve"> to help identify whether software technologies are medical devices.</w:t>
      </w:r>
    </w:p>
    <w:p w14:paraId="18B05896" w14:textId="3B9CAFA7" w:rsidR="009F42E0" w:rsidRDefault="000A5343" w:rsidP="009F42E0">
      <w:pPr>
        <w:pStyle w:val="NICEnormal"/>
        <w:keepLines/>
      </w:pPr>
      <w:r w:rsidRPr="007638A5">
        <w:t xml:space="preserve">The ESF has been updated </w:t>
      </w:r>
      <w:r w:rsidR="00B972E8">
        <w:t xml:space="preserve">in 2022 </w:t>
      </w:r>
      <w:r w:rsidRPr="007638A5">
        <w:t xml:space="preserve">to </w:t>
      </w:r>
      <w:r w:rsidR="003E5DF8" w:rsidRPr="007638A5">
        <w:t xml:space="preserve">include </w:t>
      </w:r>
      <w:r w:rsidR="00276B71">
        <w:t xml:space="preserve">standards relevant to </w:t>
      </w:r>
      <w:r w:rsidR="003E5DF8" w:rsidRPr="007638A5">
        <w:t>DHTs whose performance is expected to change over time (such as those with machine</w:t>
      </w:r>
      <w:r w:rsidR="001B53CA">
        <w:t>-</w:t>
      </w:r>
      <w:r w:rsidR="003E5DF8" w:rsidRPr="007638A5">
        <w:t>learning</w:t>
      </w:r>
      <w:r w:rsidR="00276B71">
        <w:t xml:space="preserve"> algorithms that are expected to re-train over time</w:t>
      </w:r>
      <w:r w:rsidR="003E5DF8" w:rsidRPr="007638A5">
        <w:t>)</w:t>
      </w:r>
      <w:r w:rsidR="00B972E8">
        <w:t>.</w:t>
      </w:r>
    </w:p>
    <w:p w14:paraId="0D40805B" w14:textId="77777777" w:rsidR="00B972E8" w:rsidRDefault="00E54CE7" w:rsidP="009F42E0">
      <w:pPr>
        <w:pStyle w:val="NICEnormal"/>
        <w:keepLines/>
      </w:pPr>
      <w:r>
        <w:t xml:space="preserve">The ESF </w:t>
      </w:r>
      <w:r w:rsidRPr="007638A5">
        <w:t xml:space="preserve">is not intended </w:t>
      </w:r>
      <w:r>
        <w:t>to be used for evaluating</w:t>
      </w:r>
      <w:r w:rsidRPr="007638A5">
        <w:t xml:space="preserve"> </w:t>
      </w:r>
      <w:r w:rsidR="00B972E8">
        <w:t>the following types of DHT:</w:t>
      </w:r>
    </w:p>
    <w:p w14:paraId="1CDC7320" w14:textId="050B625A" w:rsidR="00B972E8" w:rsidRDefault="00E54CE7" w:rsidP="002A4082">
      <w:pPr>
        <w:pStyle w:val="Bulletleft1"/>
      </w:pPr>
      <w:r w:rsidRPr="007638A5">
        <w:lastRenderedPageBreak/>
        <w:t>software that is integral to</w:t>
      </w:r>
      <w:r>
        <w:t>,</w:t>
      </w:r>
      <w:r w:rsidRPr="007638A5">
        <w:t xml:space="preserve"> or embedded in</w:t>
      </w:r>
      <w:r>
        <w:t>,</w:t>
      </w:r>
      <w:r w:rsidRPr="007638A5">
        <w:t xml:space="preserve"> a medical device, also called software in a medical device (</w:t>
      </w:r>
      <w:proofErr w:type="spellStart"/>
      <w:r w:rsidRPr="007638A5">
        <w:t>SiMD</w:t>
      </w:r>
      <w:proofErr w:type="spellEnd"/>
      <w:r w:rsidRPr="007638A5">
        <w:t>)</w:t>
      </w:r>
    </w:p>
    <w:p w14:paraId="16F080B7" w14:textId="20C8D184" w:rsidR="003509DC" w:rsidRDefault="001B53CA" w:rsidP="002A4082">
      <w:pPr>
        <w:pStyle w:val="Bulletleft1"/>
      </w:pPr>
      <w:r>
        <w:t>s</w:t>
      </w:r>
      <w:r w:rsidR="00720BDE">
        <w:t>urgical robots</w:t>
      </w:r>
    </w:p>
    <w:p w14:paraId="7088B63E" w14:textId="531A7EFB" w:rsidR="000A728B" w:rsidRDefault="000A728B" w:rsidP="002A4082">
      <w:pPr>
        <w:pStyle w:val="Bulletleft1"/>
      </w:pPr>
      <w:r w:rsidRPr="007638A5">
        <w:t>DHTs designed for</w:t>
      </w:r>
      <w:r>
        <w:t xml:space="preserve"> </w:t>
      </w:r>
      <w:r w:rsidR="008D6243">
        <w:t>providing</w:t>
      </w:r>
      <w:r w:rsidRPr="007638A5">
        <w:t xml:space="preserve"> training </w:t>
      </w:r>
      <w:r w:rsidR="008D6243">
        <w:t>to</w:t>
      </w:r>
      <w:r>
        <w:t xml:space="preserve"> </w:t>
      </w:r>
      <w:r w:rsidRPr="007638A5">
        <w:t>health or care professionals</w:t>
      </w:r>
      <w:r w:rsidR="008D6243">
        <w:t xml:space="preserve"> (such as </w:t>
      </w:r>
      <w:r w:rsidR="001B53CA">
        <w:t>v</w:t>
      </w:r>
      <w:r w:rsidR="001B53CA" w:rsidRPr="001B53CA">
        <w:t>irtual reality</w:t>
      </w:r>
      <w:r w:rsidR="001B53CA">
        <w:t xml:space="preserve"> [VR] or</w:t>
      </w:r>
      <w:r w:rsidR="001B53CA" w:rsidRPr="001B53CA">
        <w:t xml:space="preserve"> augmented reality </w:t>
      </w:r>
      <w:r w:rsidR="001B53CA">
        <w:t>[</w:t>
      </w:r>
      <w:r w:rsidR="008D6243">
        <w:t>AR</w:t>
      </w:r>
      <w:r w:rsidR="001B53CA">
        <w:t>]</w:t>
      </w:r>
      <w:r w:rsidR="008D6243">
        <w:t xml:space="preserve"> surgical training)</w:t>
      </w:r>
    </w:p>
    <w:p w14:paraId="3D237BF4" w14:textId="303B43EF" w:rsidR="008D6243" w:rsidRDefault="000A728B" w:rsidP="00BC36BA">
      <w:pPr>
        <w:pStyle w:val="Bulletleft1"/>
      </w:pPr>
      <w:r>
        <w:t xml:space="preserve">DHTs that </w:t>
      </w:r>
      <w:r w:rsidRPr="007638A5">
        <w:t>facilitat</w:t>
      </w:r>
      <w:r>
        <w:t>e</w:t>
      </w:r>
      <w:r w:rsidRPr="007638A5">
        <w:t xml:space="preserve"> data collection in research studies</w:t>
      </w:r>
      <w:r w:rsidR="001B53CA">
        <w:t>.</w:t>
      </w:r>
    </w:p>
    <w:p w14:paraId="403304D9" w14:textId="02827D8C" w:rsidR="00147DFA" w:rsidRPr="007638A5" w:rsidRDefault="00147DFA" w:rsidP="00D64443">
      <w:pPr>
        <w:pStyle w:val="NICEnormal"/>
      </w:pPr>
      <w:r w:rsidRPr="007638A5">
        <w:br w:type="page"/>
      </w:r>
    </w:p>
    <w:p w14:paraId="004DD2AD" w14:textId="14EFF49D" w:rsidR="00AF37B3" w:rsidRPr="007638A5" w:rsidRDefault="00AF37B3" w:rsidP="0070062A">
      <w:pPr>
        <w:pStyle w:val="Heading1"/>
        <w:rPr>
          <w:lang w:val="en-GB"/>
        </w:rPr>
      </w:pPr>
      <w:bookmarkStart w:id="12" w:name="_Section_A:_Evidence"/>
      <w:bookmarkStart w:id="13" w:name="_Section_B:_Classification"/>
      <w:bookmarkStart w:id="14" w:name="_Toc57796186"/>
      <w:bookmarkStart w:id="15" w:name="_Toc527553092"/>
      <w:bookmarkEnd w:id="12"/>
      <w:bookmarkEnd w:id="13"/>
      <w:r w:rsidRPr="007638A5">
        <w:rPr>
          <w:lang w:val="en-GB"/>
        </w:rPr>
        <w:lastRenderedPageBreak/>
        <w:t>Section</w:t>
      </w:r>
      <w:r w:rsidR="007C0D21" w:rsidRPr="007638A5">
        <w:rPr>
          <w:lang w:val="en-GB"/>
        </w:rPr>
        <w:t xml:space="preserve"> B</w:t>
      </w:r>
      <w:r w:rsidR="00F57A34" w:rsidRPr="007638A5">
        <w:rPr>
          <w:lang w:val="en-GB"/>
        </w:rPr>
        <w:t xml:space="preserve">: </w:t>
      </w:r>
      <w:r w:rsidR="005F41DA" w:rsidRPr="007638A5">
        <w:rPr>
          <w:lang w:val="en-GB"/>
        </w:rPr>
        <w:t>C</w:t>
      </w:r>
      <w:r w:rsidR="007C0D21" w:rsidRPr="007638A5">
        <w:rPr>
          <w:lang w:val="en-GB"/>
        </w:rPr>
        <w:t xml:space="preserve">lassification </w:t>
      </w:r>
      <w:r w:rsidR="005F41DA" w:rsidRPr="007638A5">
        <w:rPr>
          <w:lang w:val="en-GB"/>
        </w:rPr>
        <w:t>of</w:t>
      </w:r>
      <w:r w:rsidR="007C0D21" w:rsidRPr="007638A5">
        <w:rPr>
          <w:lang w:val="en-GB"/>
        </w:rPr>
        <w:t xml:space="preserve"> DHTs</w:t>
      </w:r>
      <w:bookmarkEnd w:id="14"/>
    </w:p>
    <w:p w14:paraId="4D39A50E" w14:textId="4DCDC540" w:rsidR="006F4AC1" w:rsidRPr="007638A5" w:rsidRDefault="001442BB" w:rsidP="00E16457">
      <w:pPr>
        <w:pStyle w:val="NICEnormal"/>
      </w:pPr>
      <w:bookmarkStart w:id="16" w:name="_How_to_use"/>
      <w:bookmarkStart w:id="17" w:name="_F_unctional_classification"/>
      <w:bookmarkEnd w:id="15"/>
      <w:bookmarkEnd w:id="16"/>
      <w:bookmarkEnd w:id="17"/>
      <w:r w:rsidRPr="007638A5">
        <w:t xml:space="preserve">Classifying </w:t>
      </w:r>
      <w:r w:rsidR="00B743BF" w:rsidRPr="00B743BF">
        <w:t xml:space="preserve">digital health technologies </w:t>
      </w:r>
      <w:r w:rsidR="00B743BF">
        <w:t>(</w:t>
      </w:r>
      <w:r w:rsidRPr="007638A5">
        <w:t>DHTs</w:t>
      </w:r>
      <w:r w:rsidR="00B743BF">
        <w:t>)</w:t>
      </w:r>
      <w:r w:rsidRPr="007638A5">
        <w:t xml:space="preserve"> by </w:t>
      </w:r>
      <w:r w:rsidR="007C0D21" w:rsidRPr="007638A5">
        <w:t xml:space="preserve">intended </w:t>
      </w:r>
      <w:r w:rsidR="004B11F1">
        <w:t>use</w:t>
      </w:r>
      <w:r w:rsidR="004B11F1" w:rsidRPr="007638A5">
        <w:t xml:space="preserve"> </w:t>
      </w:r>
      <w:r w:rsidR="00642932" w:rsidRPr="007638A5">
        <w:t>(see</w:t>
      </w:r>
      <w:r w:rsidR="00B743BF">
        <w:t xml:space="preserve"> figure 1</w:t>
      </w:r>
      <w:r w:rsidR="00642932" w:rsidRPr="007638A5">
        <w:t xml:space="preserve">) </w:t>
      </w:r>
      <w:r w:rsidRPr="007638A5">
        <w:t xml:space="preserve">allows them to be stratified </w:t>
      </w:r>
      <w:r w:rsidR="00FE6A34" w:rsidRPr="007638A5">
        <w:t>into tiers</w:t>
      </w:r>
      <w:r w:rsidR="00AF37B3" w:rsidRPr="007638A5">
        <w:t xml:space="preserve"> based on the potential risk to</w:t>
      </w:r>
      <w:r w:rsidR="004D44D1" w:rsidRPr="007638A5">
        <w:t xml:space="preserve"> </w:t>
      </w:r>
      <w:r w:rsidR="00AC5EA6">
        <w:t>service user</w:t>
      </w:r>
      <w:r w:rsidR="004D44D1" w:rsidRPr="007638A5">
        <w:t>s and to the system</w:t>
      </w:r>
      <w:r w:rsidR="00AF37B3" w:rsidRPr="007638A5">
        <w:t xml:space="preserve">. </w:t>
      </w:r>
      <w:r w:rsidRPr="007638A5">
        <w:t xml:space="preserve">The evidence level needed for each tier is proportionate to the potential risk to </w:t>
      </w:r>
      <w:r w:rsidR="00AC5EA6">
        <w:t>service user</w:t>
      </w:r>
      <w:r w:rsidRPr="007638A5">
        <w:t xml:space="preserve">s </w:t>
      </w:r>
      <w:r w:rsidR="00945ECB" w:rsidRPr="007638A5">
        <w:t xml:space="preserve">from </w:t>
      </w:r>
      <w:r w:rsidRPr="007638A5">
        <w:t>the DHTs in that tier.</w:t>
      </w:r>
      <w:r w:rsidR="001404C5" w:rsidRPr="007638A5">
        <w:t xml:space="preserve"> </w:t>
      </w:r>
      <w:r w:rsidR="00904598" w:rsidRPr="007638A5">
        <w:t xml:space="preserve">The classification used in the </w:t>
      </w:r>
      <w:r w:rsidR="00B743BF" w:rsidRPr="00B743BF">
        <w:t xml:space="preserve">evidence standards framework </w:t>
      </w:r>
      <w:r w:rsidR="00B743BF">
        <w:t>(</w:t>
      </w:r>
      <w:r w:rsidR="00904598" w:rsidRPr="007638A5">
        <w:t>ESF</w:t>
      </w:r>
      <w:r w:rsidR="00B743BF">
        <w:t>)</w:t>
      </w:r>
      <w:r w:rsidR="00904598" w:rsidRPr="007638A5">
        <w:t xml:space="preserve"> has been </w:t>
      </w:r>
      <w:r w:rsidR="006F4AC1" w:rsidRPr="007638A5">
        <w:t xml:space="preserve">designed so that most regulated medical devices will be in </w:t>
      </w:r>
      <w:r w:rsidR="00562FAF">
        <w:t>t</w:t>
      </w:r>
      <w:r w:rsidR="006F4AC1" w:rsidRPr="007638A5">
        <w:t xml:space="preserve">ier C. </w:t>
      </w:r>
      <w:r w:rsidR="00904598" w:rsidRPr="007638A5">
        <w:t xml:space="preserve">Table 1 describes each classification </w:t>
      </w:r>
      <w:r w:rsidR="001B0B1A" w:rsidRPr="007638A5">
        <w:t>group in</w:t>
      </w:r>
      <w:r w:rsidR="00904598" w:rsidRPr="007638A5">
        <w:t xml:space="preserve"> more detail and gives some specific examples. </w:t>
      </w:r>
      <w:r w:rsidR="00C274A5" w:rsidRPr="00AF6E34">
        <w:t>We plan to publish some</w:t>
      </w:r>
      <w:r w:rsidR="00904598" w:rsidRPr="007638A5">
        <w:t xml:space="preserve"> </w:t>
      </w:r>
      <w:r w:rsidR="001B0B1A" w:rsidRPr="007638A5">
        <w:t>examples</w:t>
      </w:r>
      <w:r w:rsidR="00904598" w:rsidRPr="007638A5">
        <w:t xml:space="preserve"> </w:t>
      </w:r>
      <w:r w:rsidR="00C274A5" w:rsidRPr="00AF6E34">
        <w:t xml:space="preserve">of DHTs classified using the </w:t>
      </w:r>
      <w:r w:rsidR="001B0B1A" w:rsidRPr="007638A5">
        <w:t>ESF</w:t>
      </w:r>
      <w:r w:rsidR="00904598" w:rsidRPr="007638A5">
        <w:t xml:space="preserve"> </w:t>
      </w:r>
      <w:r w:rsidR="009C1617">
        <w:t>c</w:t>
      </w:r>
      <w:r w:rsidR="00904598" w:rsidRPr="007638A5">
        <w:t xml:space="preserve">lassification </w:t>
      </w:r>
      <w:r w:rsidR="00C274A5" w:rsidRPr="00AF6E34">
        <w:t>system in June 2022.</w:t>
      </w:r>
    </w:p>
    <w:p w14:paraId="7C248EEC" w14:textId="51E6B5B6" w:rsidR="00904598" w:rsidRPr="007638A5" w:rsidRDefault="006F4AC1" w:rsidP="00E16457">
      <w:pPr>
        <w:pStyle w:val="NICEnormal"/>
      </w:pPr>
      <w:r w:rsidRPr="007638A5">
        <w:t xml:space="preserve">For </w:t>
      </w:r>
      <w:r w:rsidR="009C1617">
        <w:t>t</w:t>
      </w:r>
      <w:r w:rsidRPr="007638A5">
        <w:t>ier C</w:t>
      </w:r>
      <w:r w:rsidR="009C1617">
        <w:t>,</w:t>
      </w:r>
      <w:r w:rsidRPr="007638A5">
        <w:t xml:space="preserve"> t</w:t>
      </w:r>
      <w:r w:rsidR="00960FC5" w:rsidRPr="007638A5">
        <w:t>he classification groups have been aligned to th</w:t>
      </w:r>
      <w:r w:rsidRPr="007638A5">
        <w:t xml:space="preserve">e </w:t>
      </w:r>
      <w:hyperlink r:id="rId12" w:history="1">
        <w:r w:rsidRPr="00764A0B">
          <w:rPr>
            <w:rStyle w:val="Hyperlink"/>
          </w:rPr>
          <w:t>software as a medical device (</w:t>
        </w:r>
        <w:proofErr w:type="spellStart"/>
        <w:r w:rsidRPr="00764A0B">
          <w:rPr>
            <w:rStyle w:val="Hyperlink"/>
          </w:rPr>
          <w:t>SaMD</w:t>
        </w:r>
        <w:proofErr w:type="spellEnd"/>
        <w:r w:rsidRPr="00764A0B">
          <w:rPr>
            <w:rStyle w:val="Hyperlink"/>
          </w:rPr>
          <w:t xml:space="preserve">) classification framework proposed by the </w:t>
        </w:r>
        <w:r w:rsidR="00960FC5" w:rsidRPr="00764A0B">
          <w:rPr>
            <w:rStyle w:val="Hyperlink"/>
          </w:rPr>
          <w:t>International Medical Device Regulators Forum (IMDRF)</w:t>
        </w:r>
      </w:hyperlink>
      <w:r w:rsidR="00960FC5" w:rsidRPr="007638A5">
        <w:t>. Table</w:t>
      </w:r>
      <w:r w:rsidR="00F57A34" w:rsidRPr="007638A5">
        <w:t xml:space="preserve"> 2 </w:t>
      </w:r>
      <w:r w:rsidR="005905A7" w:rsidRPr="007638A5">
        <w:t xml:space="preserve">is adapted from the IMDRF </w:t>
      </w:r>
      <w:r w:rsidR="004D44D1" w:rsidRPr="007638A5">
        <w:t xml:space="preserve">classification </w:t>
      </w:r>
      <w:r w:rsidR="00944F71" w:rsidRPr="007638A5">
        <w:t xml:space="preserve">document </w:t>
      </w:r>
      <w:r w:rsidR="005905A7" w:rsidRPr="007638A5">
        <w:t xml:space="preserve">showing the relationship between the </w:t>
      </w:r>
      <w:r w:rsidR="00944F71" w:rsidRPr="007638A5">
        <w:t xml:space="preserve">ESF </w:t>
      </w:r>
      <w:r w:rsidR="005905A7" w:rsidRPr="007638A5">
        <w:t>classification groups and the medical device class</w:t>
      </w:r>
      <w:r w:rsidR="002A4082">
        <w:t>es</w:t>
      </w:r>
      <w:r w:rsidR="005905A7" w:rsidRPr="007638A5">
        <w:t>. Please note the MHRA</w:t>
      </w:r>
      <w:r w:rsidR="001621EF">
        <w:t xml:space="preserve">’s </w:t>
      </w:r>
      <w:hyperlink r:id="rId13" w:history="1">
        <w:r w:rsidR="00D11C05">
          <w:rPr>
            <w:rStyle w:val="Hyperlink"/>
          </w:rPr>
          <w:t>c</w:t>
        </w:r>
        <w:r w:rsidR="00ED7AFA" w:rsidRPr="00ED7AFA">
          <w:rPr>
            <w:rStyle w:val="Hyperlink"/>
          </w:rPr>
          <w:t>onsultation on the future regulation of medical devices in the United Kingdom</w:t>
        </w:r>
      </w:hyperlink>
      <w:r w:rsidR="00ED7AFA" w:rsidRPr="00ED7AFA">
        <w:t xml:space="preserve"> </w:t>
      </w:r>
      <w:r w:rsidR="001621EF">
        <w:t xml:space="preserve">contained a section on </w:t>
      </w:r>
      <w:r w:rsidR="00ED7AFA">
        <w:t>software as a medical device</w:t>
      </w:r>
      <w:r w:rsidR="00ED7AFA">
        <w:rPr>
          <w:rStyle w:val="CommentReference"/>
          <w:rFonts w:ascii="Times New Roman" w:hAnsi="Times New Roman"/>
          <w:lang w:eastAsia="en-GB"/>
        </w:rPr>
        <w:t>.</w:t>
      </w:r>
      <w:r w:rsidR="005905A7" w:rsidRPr="007638A5">
        <w:t xml:space="preserve"> </w:t>
      </w:r>
      <w:r w:rsidR="00ED7AFA">
        <w:t>T</w:t>
      </w:r>
      <w:r w:rsidR="005905A7" w:rsidRPr="007638A5">
        <w:t>able</w:t>
      </w:r>
      <w:r w:rsidR="00ED7AFA">
        <w:t xml:space="preserve"> 2</w:t>
      </w:r>
      <w:r w:rsidR="005905A7" w:rsidRPr="007638A5">
        <w:t xml:space="preserve"> will be updated as necessary. </w:t>
      </w:r>
    </w:p>
    <w:p w14:paraId="72B8549E" w14:textId="453C08E9" w:rsidR="00904598" w:rsidRPr="007638A5" w:rsidRDefault="00904598" w:rsidP="00904598">
      <w:pPr>
        <w:pStyle w:val="NICEnormal"/>
      </w:pPr>
      <w:r w:rsidRPr="007638A5">
        <w:t>For more information about how the classification was developed</w:t>
      </w:r>
      <w:r w:rsidR="00764A0B">
        <w:t>,</w:t>
      </w:r>
      <w:r w:rsidRPr="007638A5">
        <w:t xml:space="preserve"> please see the </w:t>
      </w:r>
      <w:hyperlink r:id="rId14" w:history="1">
        <w:r w:rsidRPr="004B4B98">
          <w:rPr>
            <w:rStyle w:val="Hyperlink"/>
          </w:rPr>
          <w:t>ESF user guide.</w:t>
        </w:r>
      </w:hyperlink>
    </w:p>
    <w:p w14:paraId="1B098F95" w14:textId="459D224B" w:rsidR="000A1720" w:rsidRDefault="000A1720" w:rsidP="000A1720">
      <w:pPr>
        <w:pStyle w:val="Caption"/>
      </w:pPr>
      <w:r>
        <w:t xml:space="preserve">Figure </w:t>
      </w:r>
      <w:fldSimple w:instr=" SEQ Figure \* ARABIC ">
        <w:r>
          <w:rPr>
            <w:noProof/>
          </w:rPr>
          <w:t>1</w:t>
        </w:r>
      </w:fldSimple>
      <w:r>
        <w:t xml:space="preserve"> </w:t>
      </w:r>
      <w:r w:rsidRPr="007638A5">
        <w:t xml:space="preserve">DHTs classified by intended </w:t>
      </w:r>
      <w:r>
        <w:t>use</w:t>
      </w:r>
      <w:r w:rsidRPr="007638A5">
        <w:t xml:space="preserve"> and stratified into risk tiers</w:t>
      </w:r>
    </w:p>
    <w:p w14:paraId="778997FC" w14:textId="147D3057" w:rsidR="00756E0C" w:rsidRPr="007638A5" w:rsidRDefault="00C572E8" w:rsidP="00764A0B">
      <w:pPr>
        <w:pStyle w:val="Caption"/>
      </w:pPr>
      <w:r w:rsidRPr="007638A5">
        <w:rPr>
          <w:noProof/>
        </w:rPr>
        <w:drawing>
          <wp:inline distT="0" distB="0" distL="0" distR="0" wp14:anchorId="2B2A7A95" wp14:editId="2BA36C25">
            <wp:extent cx="5731510" cy="2807335"/>
            <wp:effectExtent l="0" t="0" r="2540" b="0"/>
            <wp:docPr id="1" name="Picture 1" descr="The figure shows DHTs classified by intended purpose and stratified into risk tiers: tier C (DHTs for treating and diagnosing medical conditions, or guiding care choices; includes DHTs with direct health outcomes, and those that are likely to be regulated medical devices), tier B (DHTs for helping citizens and patients to manage their own health and wellness) and tier A (DHTs intended to save costs or release staff time, no direct patient, health or care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igure shows DHTs classified by intended purpose and stratified into risk tiers: tier C (DHTs for treating and diagnosing medical conditions, or guiding care choices; includes DHTs with direct health outcomes, and those that are likely to be regulated medical devices), tier B (DHTs for helping citizens and patients to manage their own health and wellness) and tier A (DHTs intended to save costs or release staff time, no direct patient, health or care outcomes)."/>
                    <pic:cNvPicPr/>
                  </pic:nvPicPr>
                  <pic:blipFill>
                    <a:blip r:embed="rId15"/>
                    <a:stretch>
                      <a:fillRect/>
                    </a:stretch>
                  </pic:blipFill>
                  <pic:spPr>
                    <a:xfrm>
                      <a:off x="0" y="0"/>
                      <a:ext cx="5731510" cy="2807335"/>
                    </a:xfrm>
                    <a:prstGeom prst="rect">
                      <a:avLst/>
                    </a:prstGeom>
                  </pic:spPr>
                </pic:pic>
              </a:graphicData>
            </a:graphic>
          </wp:inline>
        </w:drawing>
      </w:r>
      <w:bookmarkStart w:id="18" w:name="_Figure_1_DHTs"/>
      <w:bookmarkEnd w:id="18"/>
    </w:p>
    <w:p w14:paraId="22341406" w14:textId="77777777" w:rsidR="005F41DA" w:rsidRPr="007638A5" w:rsidRDefault="005F41DA" w:rsidP="007638A5">
      <w:pPr>
        <w:pStyle w:val="NICEnormal"/>
        <w:sectPr w:rsidR="005F41DA" w:rsidRPr="007638A5" w:rsidSect="00747A52">
          <w:footerReference w:type="default" r:id="rId16"/>
          <w:footerReference w:type="first" r:id="rId17"/>
          <w:type w:val="continuous"/>
          <w:pgSz w:w="11906" w:h="16838"/>
          <w:pgMar w:top="1440" w:right="1440" w:bottom="1440" w:left="1440" w:header="708" w:footer="708" w:gutter="0"/>
          <w:pgNumType w:start="1"/>
          <w:cols w:space="708"/>
          <w:titlePg/>
          <w:docGrid w:linePitch="360"/>
        </w:sectPr>
      </w:pPr>
    </w:p>
    <w:p w14:paraId="22E39CFC" w14:textId="43289B0A" w:rsidR="00C364A7" w:rsidRPr="007638A5" w:rsidRDefault="00DF6D25" w:rsidP="00C364A7">
      <w:pPr>
        <w:pStyle w:val="Caption"/>
      </w:pPr>
      <w:bookmarkStart w:id="19" w:name="_Table_1_"/>
      <w:bookmarkStart w:id="20" w:name="_Contextual_questions_that"/>
      <w:bookmarkStart w:id="21" w:name="_Toc527553094"/>
      <w:bookmarkStart w:id="22" w:name="_Toc57796190"/>
      <w:bookmarkEnd w:id="19"/>
      <w:bookmarkEnd w:id="20"/>
      <w:r w:rsidRPr="007638A5">
        <w:lastRenderedPageBreak/>
        <w:t xml:space="preserve">Table </w:t>
      </w:r>
      <w:r w:rsidR="00192E3E" w:rsidRPr="007638A5">
        <w:t>1 ESF evidence tiers and classification groups</w:t>
      </w:r>
    </w:p>
    <w:tbl>
      <w:tblPr>
        <w:tblStyle w:val="TableGrid"/>
        <w:tblW w:w="4927" w:type="pct"/>
        <w:tblLook w:val="04A0" w:firstRow="1" w:lastRow="0" w:firstColumn="1" w:lastColumn="0" w:noHBand="0" w:noVBand="1"/>
        <w:tblCaption w:val="Table 1 ESF evidence tiers and classification groups"/>
        <w:tblDescription w:val="The table describes each classification group in more detail and gives some specific examples"/>
      </w:tblPr>
      <w:tblGrid>
        <w:gridCol w:w="2791"/>
        <w:gridCol w:w="2791"/>
        <w:gridCol w:w="2790"/>
        <w:gridCol w:w="2790"/>
        <w:gridCol w:w="2584"/>
      </w:tblGrid>
      <w:tr w:rsidR="00E10062" w:rsidRPr="007638A5" w14:paraId="69B34A14" w14:textId="77777777" w:rsidTr="00B6077F">
        <w:trPr>
          <w:tblHeader/>
        </w:trPr>
        <w:tc>
          <w:tcPr>
            <w:tcW w:w="1015" w:type="pct"/>
          </w:tcPr>
          <w:p w14:paraId="4E64D7B2" w14:textId="77777777" w:rsidR="00E10062" w:rsidRPr="007638A5" w:rsidRDefault="00E10062" w:rsidP="00D854F1">
            <w:pPr>
              <w:pStyle w:val="Tableheading"/>
              <w:rPr>
                <w:rFonts w:cs="Arial"/>
                <w:szCs w:val="22"/>
              </w:rPr>
            </w:pPr>
            <w:r w:rsidRPr="007638A5">
              <w:rPr>
                <w:rFonts w:cs="Arial"/>
                <w:szCs w:val="22"/>
              </w:rPr>
              <w:t>Tier</w:t>
            </w:r>
          </w:p>
        </w:tc>
        <w:tc>
          <w:tcPr>
            <w:tcW w:w="1015" w:type="pct"/>
          </w:tcPr>
          <w:p w14:paraId="0DB3B80F" w14:textId="0FCAFE1F" w:rsidR="00E10062" w:rsidRPr="007638A5" w:rsidRDefault="00E10062" w:rsidP="00D854F1">
            <w:pPr>
              <w:pStyle w:val="Tableheading"/>
              <w:rPr>
                <w:rFonts w:cs="Arial"/>
                <w:szCs w:val="22"/>
              </w:rPr>
            </w:pPr>
            <w:r w:rsidRPr="007638A5">
              <w:rPr>
                <w:rFonts w:cs="Arial"/>
                <w:szCs w:val="22"/>
              </w:rPr>
              <w:t xml:space="preserve">Intended </w:t>
            </w:r>
            <w:r w:rsidR="00796FB5">
              <w:rPr>
                <w:rFonts w:cs="Arial"/>
                <w:szCs w:val="22"/>
              </w:rPr>
              <w:t>use</w:t>
            </w:r>
          </w:p>
        </w:tc>
        <w:tc>
          <w:tcPr>
            <w:tcW w:w="1015" w:type="pct"/>
          </w:tcPr>
          <w:p w14:paraId="42A8DC9C" w14:textId="77777777" w:rsidR="00E10062" w:rsidRPr="007638A5" w:rsidRDefault="00E10062" w:rsidP="00D854F1">
            <w:pPr>
              <w:pStyle w:val="Tableheading"/>
              <w:rPr>
                <w:rFonts w:cs="Arial"/>
                <w:szCs w:val="22"/>
              </w:rPr>
            </w:pPr>
            <w:r w:rsidRPr="007638A5">
              <w:rPr>
                <w:rFonts w:cs="Arial"/>
                <w:szCs w:val="22"/>
              </w:rPr>
              <w:t>Description</w:t>
            </w:r>
          </w:p>
        </w:tc>
        <w:tc>
          <w:tcPr>
            <w:tcW w:w="1015" w:type="pct"/>
          </w:tcPr>
          <w:p w14:paraId="6324193F" w14:textId="7983B48A" w:rsidR="00E10062" w:rsidRPr="007638A5" w:rsidRDefault="008F6760" w:rsidP="00D854F1">
            <w:pPr>
              <w:pStyle w:val="Tableheading"/>
              <w:rPr>
                <w:rFonts w:cs="Arial"/>
                <w:szCs w:val="22"/>
              </w:rPr>
            </w:pPr>
            <w:r>
              <w:rPr>
                <w:rFonts w:cs="Arial"/>
                <w:szCs w:val="22"/>
              </w:rPr>
              <w:t>This tier i</w:t>
            </w:r>
            <w:r w:rsidR="00E10062" w:rsidRPr="007638A5">
              <w:rPr>
                <w:rFonts w:cs="Arial"/>
                <w:szCs w:val="22"/>
              </w:rPr>
              <w:t>ncludes (for example)</w:t>
            </w:r>
          </w:p>
        </w:tc>
        <w:tc>
          <w:tcPr>
            <w:tcW w:w="940" w:type="pct"/>
          </w:tcPr>
          <w:p w14:paraId="7AE97826" w14:textId="4CB204B3" w:rsidR="00E10062" w:rsidRPr="007638A5" w:rsidRDefault="008F6760" w:rsidP="00D854F1">
            <w:pPr>
              <w:pStyle w:val="Tableheading"/>
              <w:rPr>
                <w:rFonts w:cs="Arial"/>
                <w:szCs w:val="22"/>
              </w:rPr>
            </w:pPr>
            <w:r>
              <w:rPr>
                <w:rFonts w:cs="Arial"/>
                <w:szCs w:val="22"/>
              </w:rPr>
              <w:t>This tier e</w:t>
            </w:r>
            <w:r w:rsidR="00E10062" w:rsidRPr="007638A5">
              <w:rPr>
                <w:rFonts w:cs="Arial"/>
                <w:szCs w:val="22"/>
              </w:rPr>
              <w:t>xcludes (for example)</w:t>
            </w:r>
          </w:p>
        </w:tc>
      </w:tr>
      <w:tr w:rsidR="00E10062" w:rsidRPr="007638A5" w14:paraId="778B8AA4" w14:textId="77777777" w:rsidTr="00B6077F">
        <w:tc>
          <w:tcPr>
            <w:tcW w:w="1015" w:type="pct"/>
          </w:tcPr>
          <w:p w14:paraId="1E2DE045" w14:textId="77777777" w:rsidR="00E10062" w:rsidRPr="007638A5" w:rsidRDefault="00E10062" w:rsidP="00D854F1">
            <w:pPr>
              <w:pStyle w:val="Tabletext"/>
              <w:widowControl w:val="0"/>
              <w:rPr>
                <w:rFonts w:cs="Arial"/>
                <w:szCs w:val="22"/>
              </w:rPr>
            </w:pPr>
            <w:r w:rsidRPr="007638A5">
              <w:rPr>
                <w:rFonts w:cs="Arial"/>
                <w:b/>
                <w:bCs/>
                <w:szCs w:val="22"/>
              </w:rPr>
              <w:t>Tier A: system service</w:t>
            </w:r>
          </w:p>
          <w:p w14:paraId="61018C55" w14:textId="330EE178" w:rsidR="00E10062" w:rsidRPr="007638A5" w:rsidRDefault="00E10062" w:rsidP="00D854F1">
            <w:pPr>
              <w:pStyle w:val="Tabletext"/>
              <w:widowControl w:val="0"/>
              <w:rPr>
                <w:rFonts w:cs="Arial"/>
                <w:szCs w:val="22"/>
              </w:rPr>
            </w:pPr>
          </w:p>
        </w:tc>
        <w:tc>
          <w:tcPr>
            <w:tcW w:w="1015" w:type="pct"/>
          </w:tcPr>
          <w:p w14:paraId="13718DD8" w14:textId="5CEC8CBD" w:rsidR="00E10062" w:rsidRPr="007638A5" w:rsidRDefault="00796FB5" w:rsidP="00D854F1">
            <w:pPr>
              <w:pStyle w:val="Tabletext"/>
              <w:widowControl w:val="0"/>
              <w:rPr>
                <w:rFonts w:cs="Arial"/>
                <w:szCs w:val="22"/>
              </w:rPr>
            </w:pPr>
            <w:r>
              <w:rPr>
                <w:rFonts w:cs="Arial"/>
                <w:szCs w:val="22"/>
              </w:rPr>
              <w:t>D</w:t>
            </w:r>
            <w:r w:rsidRPr="00764A0B">
              <w:rPr>
                <w:rFonts w:cs="Arial"/>
                <w:szCs w:val="22"/>
              </w:rPr>
              <w:t xml:space="preserve">igital health technologies </w:t>
            </w:r>
            <w:r>
              <w:rPr>
                <w:rFonts w:cs="Arial"/>
                <w:szCs w:val="22"/>
              </w:rPr>
              <w:t>(</w:t>
            </w:r>
            <w:r w:rsidRPr="007638A5">
              <w:rPr>
                <w:rFonts w:cs="Arial"/>
                <w:szCs w:val="22"/>
              </w:rPr>
              <w:t>DHTs</w:t>
            </w:r>
            <w:r>
              <w:rPr>
                <w:rFonts w:cs="Arial"/>
                <w:szCs w:val="22"/>
              </w:rPr>
              <w:t>)</w:t>
            </w:r>
            <w:r w:rsidRPr="007638A5">
              <w:rPr>
                <w:rFonts w:cs="Arial"/>
                <w:szCs w:val="22"/>
              </w:rPr>
              <w:t xml:space="preserve"> intended to release costs or staff time</w:t>
            </w:r>
            <w:r>
              <w:rPr>
                <w:rFonts w:cs="Arial"/>
                <w:szCs w:val="22"/>
              </w:rPr>
              <w:t xml:space="preserve">, or to </w:t>
            </w:r>
            <w:r w:rsidR="00E10062" w:rsidRPr="007638A5">
              <w:rPr>
                <w:rFonts w:cs="Arial"/>
                <w:szCs w:val="22"/>
              </w:rPr>
              <w:t xml:space="preserve">improve efficiency. </w:t>
            </w:r>
          </w:p>
        </w:tc>
        <w:tc>
          <w:tcPr>
            <w:tcW w:w="1015" w:type="pct"/>
          </w:tcPr>
          <w:p w14:paraId="065B5FB4" w14:textId="22990957" w:rsidR="00E10062" w:rsidRPr="007638A5" w:rsidRDefault="00E10062" w:rsidP="00D854F1">
            <w:pPr>
              <w:pStyle w:val="Tabletext"/>
              <w:widowControl w:val="0"/>
            </w:pPr>
            <w:r w:rsidRPr="007638A5">
              <w:t xml:space="preserve">Unlikely to have direct </w:t>
            </w:r>
            <w:r w:rsidR="001D69EF">
              <w:t xml:space="preserve">health outcomes measurable for </w:t>
            </w:r>
            <w:r w:rsidRPr="007638A5">
              <w:t xml:space="preserve">individual </w:t>
            </w:r>
            <w:r w:rsidR="00AC5EA6">
              <w:t>service user</w:t>
            </w:r>
            <w:r w:rsidR="001D69EF">
              <w:t>s</w:t>
            </w:r>
            <w:r w:rsidR="006100E7">
              <w:t>.</w:t>
            </w:r>
          </w:p>
        </w:tc>
        <w:tc>
          <w:tcPr>
            <w:tcW w:w="1015" w:type="pct"/>
          </w:tcPr>
          <w:p w14:paraId="497ED3B9" w14:textId="77777777" w:rsidR="00B6077F" w:rsidRDefault="00E10062" w:rsidP="00D854F1">
            <w:pPr>
              <w:pStyle w:val="Tabletext"/>
              <w:widowControl w:val="0"/>
              <w:rPr>
                <w:rFonts w:cs="Arial"/>
                <w:szCs w:val="22"/>
              </w:rPr>
            </w:pPr>
            <w:r w:rsidRPr="00D76C54">
              <w:rPr>
                <w:rFonts w:cs="Arial"/>
                <w:szCs w:val="22"/>
              </w:rPr>
              <w:t>Electronic prescribing systems that do not provide patient-level advice on prescribing.</w:t>
            </w:r>
            <w:r w:rsidRPr="007638A5">
              <w:rPr>
                <w:rFonts w:cs="Arial"/>
                <w:szCs w:val="22"/>
              </w:rPr>
              <w:t xml:space="preserve"> </w:t>
            </w:r>
          </w:p>
          <w:p w14:paraId="5B7E7BA7" w14:textId="77777777" w:rsidR="00B6077F" w:rsidRDefault="00E10062" w:rsidP="00D854F1">
            <w:pPr>
              <w:pStyle w:val="Tabletext"/>
              <w:widowControl w:val="0"/>
              <w:rPr>
                <w:rFonts w:cs="Arial"/>
                <w:szCs w:val="22"/>
              </w:rPr>
            </w:pPr>
            <w:r w:rsidRPr="007638A5">
              <w:rPr>
                <w:rFonts w:cs="Arial"/>
                <w:szCs w:val="22"/>
              </w:rPr>
              <w:t xml:space="preserve">Electronic health record platforms. </w:t>
            </w:r>
          </w:p>
          <w:p w14:paraId="58EE7E24" w14:textId="224A852D" w:rsidR="00477134" w:rsidRDefault="00E10062" w:rsidP="00D854F1">
            <w:pPr>
              <w:pStyle w:val="Tabletext"/>
              <w:widowControl w:val="0"/>
              <w:rPr>
                <w:rFonts w:cs="Arial"/>
                <w:szCs w:val="22"/>
              </w:rPr>
            </w:pPr>
            <w:r w:rsidRPr="007638A5">
              <w:rPr>
                <w:rFonts w:cs="Arial"/>
                <w:szCs w:val="22"/>
              </w:rPr>
              <w:t>Ward management systems</w:t>
            </w:r>
            <w:r w:rsidR="00BC36BA">
              <w:rPr>
                <w:rFonts w:cs="Arial"/>
                <w:szCs w:val="22"/>
              </w:rPr>
              <w:t xml:space="preserve"> includ</w:t>
            </w:r>
            <w:r w:rsidR="00D11C05">
              <w:rPr>
                <w:rFonts w:cs="Arial"/>
                <w:szCs w:val="22"/>
              </w:rPr>
              <w:t>ing</w:t>
            </w:r>
            <w:r w:rsidR="00BC36BA">
              <w:rPr>
                <w:rFonts w:cs="Arial"/>
                <w:szCs w:val="22"/>
              </w:rPr>
              <w:t xml:space="preserve"> those that</w:t>
            </w:r>
            <w:r w:rsidR="00D11C05">
              <w:rPr>
                <w:rFonts w:cs="Arial"/>
                <w:szCs w:val="22"/>
              </w:rPr>
              <w:t xml:space="preserve"> </w:t>
            </w:r>
            <w:r w:rsidR="00477134" w:rsidRPr="00D11C05">
              <w:t xml:space="preserve">use resourcing data (such as waiting times or bed capacity) to help manage </w:t>
            </w:r>
            <w:r w:rsidR="00A27B29" w:rsidRPr="00D11C05">
              <w:t xml:space="preserve">clinical or care </w:t>
            </w:r>
            <w:r w:rsidR="00477134" w:rsidRPr="00D11C05">
              <w:t xml:space="preserve">workloads </w:t>
            </w:r>
            <w:r w:rsidR="00A27B29" w:rsidRPr="00D11C05">
              <w:t xml:space="preserve">by </w:t>
            </w:r>
            <w:r w:rsidR="00477134" w:rsidRPr="00D11C05">
              <w:t>guid</w:t>
            </w:r>
            <w:r w:rsidR="00A27B29" w:rsidRPr="00D11C05">
              <w:t>ing</w:t>
            </w:r>
            <w:r w:rsidR="00477134" w:rsidRPr="00D11C05">
              <w:t xml:space="preserve"> people’s access routes to care.</w:t>
            </w:r>
          </w:p>
          <w:p w14:paraId="7A7333C2" w14:textId="59E83D4E" w:rsidR="00A27B29" w:rsidRPr="007638A5" w:rsidRDefault="00685774" w:rsidP="00F4278B">
            <w:pPr>
              <w:pStyle w:val="Tabletext"/>
              <w:widowControl w:val="0"/>
              <w:rPr>
                <w:rFonts w:cs="Arial"/>
                <w:szCs w:val="22"/>
              </w:rPr>
            </w:pPr>
            <w:r w:rsidRPr="00D11C05">
              <w:rPr>
                <w:b/>
              </w:rPr>
              <w:t>Examples:</w:t>
            </w:r>
            <w:r>
              <w:rPr>
                <w:rFonts w:cs="Arial"/>
                <w:szCs w:val="22"/>
              </w:rPr>
              <w:t xml:space="preserve"> </w:t>
            </w:r>
            <w:proofErr w:type="spellStart"/>
            <w:r w:rsidR="000C501C">
              <w:rPr>
                <w:rFonts w:cs="Arial"/>
                <w:szCs w:val="22"/>
              </w:rPr>
              <w:t>eScription</w:t>
            </w:r>
            <w:proofErr w:type="spellEnd"/>
            <w:r w:rsidR="000C501C">
              <w:rPr>
                <w:rFonts w:cs="Arial"/>
                <w:szCs w:val="22"/>
              </w:rPr>
              <w:t xml:space="preserve"> One</w:t>
            </w:r>
            <w:r w:rsidR="000A1720">
              <w:rPr>
                <w:rFonts w:cs="Arial"/>
                <w:szCs w:val="22"/>
              </w:rPr>
              <w:t xml:space="preserve"> (</w:t>
            </w:r>
            <w:r w:rsidR="00F4278B" w:rsidRPr="00F4278B">
              <w:rPr>
                <w:rFonts w:cs="Arial"/>
                <w:szCs w:val="22"/>
              </w:rPr>
              <w:t>Deliver Health Solutions</w:t>
            </w:r>
            <w:r w:rsidR="000A1720">
              <w:rPr>
                <w:rFonts w:cs="Arial"/>
                <w:szCs w:val="22"/>
              </w:rPr>
              <w:t>)</w:t>
            </w:r>
          </w:p>
        </w:tc>
        <w:tc>
          <w:tcPr>
            <w:tcW w:w="940" w:type="pct"/>
          </w:tcPr>
          <w:p w14:paraId="28CD52DD" w14:textId="464596C4" w:rsidR="00E10062" w:rsidRDefault="00E10062" w:rsidP="00D854F1">
            <w:pPr>
              <w:pStyle w:val="Tabletext"/>
              <w:widowControl w:val="0"/>
              <w:rPr>
                <w:rFonts w:cs="Arial"/>
                <w:szCs w:val="22"/>
              </w:rPr>
            </w:pPr>
            <w:r w:rsidRPr="007638A5">
              <w:rPr>
                <w:rFonts w:cs="Arial"/>
                <w:szCs w:val="22"/>
              </w:rPr>
              <w:t>DHTs that influence treatment or diagnoses, such as early warning systems that monitor vital signs.</w:t>
            </w:r>
          </w:p>
          <w:p w14:paraId="3095A299" w14:textId="57D79BC9" w:rsidR="00477134" w:rsidRPr="007638A5" w:rsidRDefault="00477134" w:rsidP="00D854F1">
            <w:pPr>
              <w:pStyle w:val="Tabletext"/>
              <w:widowControl w:val="0"/>
              <w:rPr>
                <w:rFonts w:cs="Arial"/>
                <w:szCs w:val="22"/>
              </w:rPr>
            </w:pPr>
            <w:r>
              <w:rPr>
                <w:rFonts w:cs="Arial"/>
                <w:szCs w:val="22"/>
              </w:rPr>
              <w:t xml:space="preserve">Triaging systems that use individual patient health data (such as vital signs, </w:t>
            </w:r>
            <w:proofErr w:type="gramStart"/>
            <w:r>
              <w:rPr>
                <w:rFonts w:cs="Arial"/>
                <w:szCs w:val="22"/>
              </w:rPr>
              <w:t>symptoms</w:t>
            </w:r>
            <w:proofErr w:type="gramEnd"/>
            <w:r>
              <w:rPr>
                <w:rFonts w:cs="Arial"/>
                <w:szCs w:val="22"/>
              </w:rPr>
              <w:t xml:space="preserve"> or self-reported health measures) to guide </w:t>
            </w:r>
            <w:r w:rsidR="00A27B29">
              <w:rPr>
                <w:rFonts w:cs="Arial"/>
                <w:szCs w:val="22"/>
              </w:rPr>
              <w:t xml:space="preserve">treatment, diagnosis or </w:t>
            </w:r>
            <w:r>
              <w:rPr>
                <w:rFonts w:cs="Arial"/>
                <w:szCs w:val="22"/>
              </w:rPr>
              <w:t>care decisions.</w:t>
            </w:r>
          </w:p>
        </w:tc>
      </w:tr>
      <w:tr w:rsidR="00E10062" w:rsidRPr="007638A5" w14:paraId="1DAA5659" w14:textId="77777777" w:rsidTr="00B6077F">
        <w:tc>
          <w:tcPr>
            <w:tcW w:w="1015" w:type="pct"/>
          </w:tcPr>
          <w:p w14:paraId="0015BCDE" w14:textId="711A227C" w:rsidR="00764A0B" w:rsidRDefault="00E10062" w:rsidP="00D854F1">
            <w:pPr>
              <w:pStyle w:val="Tabletext"/>
              <w:widowControl w:val="0"/>
              <w:rPr>
                <w:rFonts w:cs="Arial"/>
                <w:b/>
                <w:bCs/>
                <w:szCs w:val="22"/>
              </w:rPr>
            </w:pPr>
            <w:r w:rsidRPr="007638A5">
              <w:rPr>
                <w:rFonts w:cs="Arial"/>
                <w:b/>
                <w:bCs/>
                <w:szCs w:val="22"/>
              </w:rPr>
              <w:t xml:space="preserve">Tier B: </w:t>
            </w:r>
            <w:r w:rsidR="00467B6B">
              <w:rPr>
                <w:rFonts w:cs="Arial"/>
                <w:b/>
                <w:bCs/>
                <w:szCs w:val="22"/>
              </w:rPr>
              <w:t>managing own health and wellness</w:t>
            </w:r>
          </w:p>
          <w:p w14:paraId="6099480F" w14:textId="77777777" w:rsidR="00E10062" w:rsidRPr="007638A5" w:rsidRDefault="00E10062" w:rsidP="00796FB5">
            <w:pPr>
              <w:pStyle w:val="Tabletext"/>
              <w:widowControl w:val="0"/>
              <w:rPr>
                <w:rFonts w:cs="Arial"/>
                <w:b/>
                <w:bCs/>
                <w:szCs w:val="22"/>
              </w:rPr>
            </w:pPr>
          </w:p>
        </w:tc>
        <w:tc>
          <w:tcPr>
            <w:tcW w:w="1015" w:type="pct"/>
          </w:tcPr>
          <w:p w14:paraId="736E44CF" w14:textId="786EF750" w:rsidR="00E10062" w:rsidRPr="007638A5" w:rsidRDefault="00E10062" w:rsidP="00D854F1">
            <w:pPr>
              <w:pStyle w:val="Tabletext"/>
              <w:widowControl w:val="0"/>
              <w:rPr>
                <w:rFonts w:cs="Arial"/>
                <w:szCs w:val="22"/>
              </w:rPr>
            </w:pPr>
            <w:r w:rsidRPr="007638A5">
              <w:rPr>
                <w:rFonts w:cs="Arial"/>
                <w:szCs w:val="22"/>
              </w:rPr>
              <w:t xml:space="preserve">Communicating </w:t>
            </w:r>
            <w:r w:rsidR="00477134">
              <w:rPr>
                <w:rFonts w:cs="Arial"/>
                <w:szCs w:val="22"/>
              </w:rPr>
              <w:t>with health professionals or others, to help service users to manage their own health and wellness</w:t>
            </w:r>
            <w:r w:rsidR="006100E7">
              <w:rPr>
                <w:rFonts w:cs="Arial"/>
                <w:szCs w:val="22"/>
              </w:rPr>
              <w:t>.</w:t>
            </w:r>
          </w:p>
        </w:tc>
        <w:tc>
          <w:tcPr>
            <w:tcW w:w="1015" w:type="pct"/>
          </w:tcPr>
          <w:p w14:paraId="68529F79" w14:textId="7DE01620" w:rsidR="00E10062" w:rsidRPr="007638A5" w:rsidRDefault="00E10062" w:rsidP="00D854F1">
            <w:pPr>
              <w:pStyle w:val="Tabletext"/>
              <w:widowControl w:val="0"/>
              <w:rPr>
                <w:rFonts w:cs="Arial"/>
                <w:szCs w:val="22"/>
              </w:rPr>
            </w:pPr>
            <w:r w:rsidRPr="007638A5">
              <w:rPr>
                <w:rFonts w:cs="Arial"/>
                <w:szCs w:val="22"/>
              </w:rPr>
              <w:t xml:space="preserve">Allows 2-way communication between </w:t>
            </w:r>
            <w:r w:rsidR="00AC5EA6">
              <w:rPr>
                <w:rFonts w:cs="Arial"/>
                <w:szCs w:val="22"/>
              </w:rPr>
              <w:t>service user</w:t>
            </w:r>
            <w:r w:rsidRPr="007638A5">
              <w:rPr>
                <w:rFonts w:cs="Arial"/>
                <w:szCs w:val="22"/>
              </w:rPr>
              <w:t xml:space="preserve">s and professionals, carers, third-party </w:t>
            </w:r>
            <w:proofErr w:type="gramStart"/>
            <w:r w:rsidRPr="007638A5">
              <w:rPr>
                <w:rFonts w:cs="Arial"/>
                <w:szCs w:val="22"/>
              </w:rPr>
              <w:t>organisations</w:t>
            </w:r>
            <w:proofErr w:type="gramEnd"/>
            <w:r w:rsidRPr="007638A5">
              <w:rPr>
                <w:rFonts w:cs="Arial"/>
                <w:szCs w:val="22"/>
              </w:rPr>
              <w:t xml:space="preserve"> or peers. </w:t>
            </w:r>
          </w:p>
        </w:tc>
        <w:tc>
          <w:tcPr>
            <w:tcW w:w="1015" w:type="pct"/>
          </w:tcPr>
          <w:p w14:paraId="68814BC2" w14:textId="77777777" w:rsidR="00B6077F" w:rsidRDefault="00E10062" w:rsidP="00D854F1">
            <w:pPr>
              <w:pStyle w:val="Tabletext"/>
              <w:widowControl w:val="0"/>
              <w:rPr>
                <w:rFonts w:cs="Arial"/>
                <w:szCs w:val="22"/>
              </w:rPr>
            </w:pPr>
            <w:r w:rsidRPr="007638A5">
              <w:rPr>
                <w:rFonts w:cs="Arial"/>
                <w:szCs w:val="22"/>
              </w:rPr>
              <w:t xml:space="preserve">Instant messaging apps for health and social care. </w:t>
            </w:r>
          </w:p>
          <w:p w14:paraId="7D4621F1" w14:textId="77777777" w:rsidR="00E10062" w:rsidRDefault="00E10062" w:rsidP="00D854F1">
            <w:pPr>
              <w:pStyle w:val="Tabletext"/>
              <w:widowControl w:val="0"/>
              <w:rPr>
                <w:rFonts w:cs="Arial"/>
                <w:szCs w:val="22"/>
              </w:rPr>
            </w:pPr>
            <w:r w:rsidRPr="007638A5">
              <w:rPr>
                <w:rFonts w:cs="Arial"/>
                <w:szCs w:val="22"/>
              </w:rPr>
              <w:t xml:space="preserve">DHTs that provide platforms for communication with carers or professionals or other </w:t>
            </w:r>
            <w:r w:rsidR="00AC5EA6">
              <w:rPr>
                <w:rFonts w:cs="Arial"/>
                <w:szCs w:val="22"/>
              </w:rPr>
              <w:t>service user</w:t>
            </w:r>
            <w:r w:rsidRPr="007638A5">
              <w:rPr>
                <w:rFonts w:cs="Arial"/>
                <w:szCs w:val="22"/>
              </w:rPr>
              <w:t xml:space="preserve">s. </w:t>
            </w:r>
          </w:p>
          <w:p w14:paraId="44BCE2E9" w14:textId="47699FDA" w:rsidR="00685774" w:rsidRPr="007638A5" w:rsidRDefault="00685774" w:rsidP="00D854F1">
            <w:pPr>
              <w:pStyle w:val="Tabletext"/>
              <w:widowControl w:val="0"/>
              <w:rPr>
                <w:rFonts w:cs="Arial"/>
                <w:szCs w:val="22"/>
              </w:rPr>
            </w:pPr>
            <w:r w:rsidRPr="00D11C05">
              <w:rPr>
                <w:b/>
              </w:rPr>
              <w:t>Examples</w:t>
            </w:r>
            <w:r w:rsidR="009A7186">
              <w:rPr>
                <w:b/>
              </w:rPr>
              <w:t xml:space="preserve">: </w:t>
            </w:r>
            <w:proofErr w:type="spellStart"/>
            <w:r w:rsidR="00276015">
              <w:rPr>
                <w:rFonts w:cs="Arial"/>
                <w:szCs w:val="22"/>
              </w:rPr>
              <w:t>Celo</w:t>
            </w:r>
            <w:proofErr w:type="spellEnd"/>
            <w:r w:rsidR="00A31A26">
              <w:rPr>
                <w:rFonts w:cs="Arial"/>
                <w:szCs w:val="22"/>
              </w:rPr>
              <w:t xml:space="preserve"> (</w:t>
            </w:r>
            <w:proofErr w:type="spellStart"/>
            <w:r w:rsidR="00A31A26" w:rsidRPr="00A31A26">
              <w:rPr>
                <w:rFonts w:cs="Arial"/>
                <w:szCs w:val="22"/>
              </w:rPr>
              <w:t>Celo</w:t>
            </w:r>
            <w:proofErr w:type="spellEnd"/>
            <w:r w:rsidR="00A31A26" w:rsidRPr="00A31A26">
              <w:rPr>
                <w:rFonts w:cs="Arial"/>
                <w:szCs w:val="22"/>
              </w:rPr>
              <w:t xml:space="preserve"> L</w:t>
            </w:r>
            <w:r w:rsidR="002C125A">
              <w:rPr>
                <w:rFonts w:cs="Arial"/>
                <w:szCs w:val="22"/>
              </w:rPr>
              <w:t>td</w:t>
            </w:r>
            <w:r w:rsidR="00A31A26">
              <w:rPr>
                <w:rFonts w:cs="Arial"/>
                <w:szCs w:val="22"/>
              </w:rPr>
              <w:t>)</w:t>
            </w:r>
            <w:r w:rsidR="00385C4D">
              <w:rPr>
                <w:rFonts w:cs="Arial"/>
                <w:szCs w:val="22"/>
              </w:rPr>
              <w:t xml:space="preserve">, </w:t>
            </w:r>
          </w:p>
        </w:tc>
        <w:tc>
          <w:tcPr>
            <w:tcW w:w="940" w:type="pct"/>
          </w:tcPr>
          <w:p w14:paraId="1D59EB73" w14:textId="77777777" w:rsidR="00E10062" w:rsidRPr="007638A5" w:rsidRDefault="00E10062" w:rsidP="00D854F1">
            <w:pPr>
              <w:pStyle w:val="Tabletext"/>
              <w:widowControl w:val="0"/>
              <w:rPr>
                <w:rFonts w:cs="Arial"/>
                <w:szCs w:val="22"/>
              </w:rPr>
            </w:pPr>
            <w:r w:rsidRPr="007638A5">
              <w:rPr>
                <w:rFonts w:cs="Arial"/>
                <w:szCs w:val="22"/>
              </w:rPr>
              <w:t xml:space="preserve">DHTs that provide clinical content themselves (such as cognitive behavioural programmes for depression). </w:t>
            </w:r>
          </w:p>
        </w:tc>
      </w:tr>
      <w:tr w:rsidR="00E10062" w:rsidRPr="007638A5" w14:paraId="0B2B9B70" w14:textId="77777777" w:rsidTr="00B6077F">
        <w:tc>
          <w:tcPr>
            <w:tcW w:w="1015" w:type="pct"/>
          </w:tcPr>
          <w:p w14:paraId="6CE4CEB5" w14:textId="6126F8DE" w:rsidR="00764A0B" w:rsidRDefault="00E10062" w:rsidP="00D854F1">
            <w:pPr>
              <w:pStyle w:val="Tabletext"/>
              <w:widowControl w:val="0"/>
              <w:rPr>
                <w:rFonts w:cs="Arial"/>
                <w:b/>
                <w:bCs/>
                <w:szCs w:val="22"/>
              </w:rPr>
            </w:pPr>
            <w:r w:rsidRPr="007638A5">
              <w:rPr>
                <w:rFonts w:cs="Arial"/>
                <w:b/>
                <w:bCs/>
                <w:szCs w:val="22"/>
              </w:rPr>
              <w:t xml:space="preserve">Tier B: </w:t>
            </w:r>
            <w:r w:rsidR="00467B6B">
              <w:rPr>
                <w:rFonts w:cs="Arial"/>
                <w:b/>
                <w:bCs/>
                <w:szCs w:val="22"/>
              </w:rPr>
              <w:t>managing own health and wellness</w:t>
            </w:r>
          </w:p>
          <w:p w14:paraId="0985A71B" w14:textId="77777777" w:rsidR="00E10062" w:rsidRPr="007638A5" w:rsidRDefault="00E10062" w:rsidP="00796FB5">
            <w:pPr>
              <w:pStyle w:val="Tabletext"/>
              <w:widowControl w:val="0"/>
              <w:rPr>
                <w:rFonts w:cs="Arial"/>
                <w:b/>
                <w:bCs/>
                <w:szCs w:val="22"/>
              </w:rPr>
            </w:pPr>
          </w:p>
        </w:tc>
        <w:tc>
          <w:tcPr>
            <w:tcW w:w="1015" w:type="pct"/>
          </w:tcPr>
          <w:p w14:paraId="676860C4" w14:textId="3C3A518B" w:rsidR="00E10062" w:rsidRPr="007638A5" w:rsidRDefault="00E10062" w:rsidP="00D854F1">
            <w:pPr>
              <w:pStyle w:val="Tabletext"/>
              <w:widowControl w:val="0"/>
              <w:rPr>
                <w:rFonts w:cs="Arial"/>
                <w:szCs w:val="22"/>
              </w:rPr>
            </w:pPr>
            <w:r w:rsidRPr="007638A5">
              <w:rPr>
                <w:rFonts w:cs="Arial"/>
                <w:szCs w:val="22"/>
              </w:rPr>
              <w:lastRenderedPageBreak/>
              <w:t>Health and care diaries</w:t>
            </w:r>
            <w:r w:rsidR="00033EBB">
              <w:rPr>
                <w:rFonts w:cs="Arial"/>
                <w:szCs w:val="22"/>
              </w:rPr>
              <w:t xml:space="preserve"> to help service users to </w:t>
            </w:r>
            <w:r w:rsidR="00033EBB">
              <w:rPr>
                <w:rFonts w:cs="Arial"/>
                <w:szCs w:val="22"/>
              </w:rPr>
              <w:lastRenderedPageBreak/>
              <w:t>manage their own health and wellness</w:t>
            </w:r>
            <w:r w:rsidR="00464941">
              <w:rPr>
                <w:rFonts w:cs="Arial"/>
                <w:szCs w:val="22"/>
              </w:rPr>
              <w:t>.</w:t>
            </w:r>
          </w:p>
        </w:tc>
        <w:tc>
          <w:tcPr>
            <w:tcW w:w="1015" w:type="pct"/>
          </w:tcPr>
          <w:p w14:paraId="2A55349E" w14:textId="6590204D" w:rsidR="00E10062" w:rsidRPr="007638A5" w:rsidRDefault="00E10062" w:rsidP="00D854F1">
            <w:pPr>
              <w:pStyle w:val="Tabletext"/>
              <w:widowControl w:val="0"/>
              <w:rPr>
                <w:rFonts w:cs="Arial"/>
                <w:szCs w:val="22"/>
              </w:rPr>
            </w:pPr>
            <w:r w:rsidRPr="007638A5">
              <w:rPr>
                <w:rFonts w:cs="Arial"/>
                <w:szCs w:val="22"/>
              </w:rPr>
              <w:lastRenderedPageBreak/>
              <w:t xml:space="preserve">Allows </w:t>
            </w:r>
            <w:r w:rsidR="00AC5EA6">
              <w:rPr>
                <w:rFonts w:cs="Arial"/>
                <w:szCs w:val="22"/>
              </w:rPr>
              <w:t>service user</w:t>
            </w:r>
            <w:r w:rsidRPr="007638A5">
              <w:rPr>
                <w:rFonts w:cs="Arial"/>
                <w:szCs w:val="22"/>
              </w:rPr>
              <w:t xml:space="preserve">s to record information to </w:t>
            </w:r>
            <w:r w:rsidRPr="007638A5">
              <w:rPr>
                <w:rFonts w:cs="Arial"/>
                <w:szCs w:val="22"/>
              </w:rPr>
              <w:lastRenderedPageBreak/>
              <w:t xml:space="preserve">create health diaries. </w:t>
            </w:r>
            <w:r w:rsidR="00D11C05">
              <w:rPr>
                <w:rFonts w:cs="Arial"/>
                <w:szCs w:val="22"/>
              </w:rPr>
              <w:t>Information and data stay with the service user and are not automatically shared with others for review.</w:t>
            </w:r>
            <w:r w:rsidRPr="007638A5">
              <w:rPr>
                <w:rFonts w:cs="Arial"/>
                <w:szCs w:val="22"/>
              </w:rPr>
              <w:t xml:space="preserve"> </w:t>
            </w:r>
          </w:p>
        </w:tc>
        <w:tc>
          <w:tcPr>
            <w:tcW w:w="1015" w:type="pct"/>
          </w:tcPr>
          <w:p w14:paraId="684526A1" w14:textId="10E43F55" w:rsidR="00B6077F" w:rsidRDefault="00E10062" w:rsidP="00D854F1">
            <w:pPr>
              <w:pStyle w:val="Tabletext"/>
              <w:widowControl w:val="0"/>
              <w:rPr>
                <w:rFonts w:cs="Arial"/>
                <w:szCs w:val="22"/>
              </w:rPr>
            </w:pPr>
            <w:r w:rsidRPr="007638A5">
              <w:rPr>
                <w:rFonts w:cs="Arial"/>
                <w:szCs w:val="22"/>
              </w:rPr>
              <w:lastRenderedPageBreak/>
              <w:t>Health tracking information</w:t>
            </w:r>
            <w:r w:rsidR="00B6077F">
              <w:rPr>
                <w:rFonts w:cs="Arial"/>
                <w:szCs w:val="22"/>
              </w:rPr>
              <w:t>,</w:t>
            </w:r>
            <w:r w:rsidRPr="007638A5">
              <w:rPr>
                <w:rFonts w:cs="Arial"/>
                <w:szCs w:val="22"/>
              </w:rPr>
              <w:t xml:space="preserve"> such as from </w:t>
            </w:r>
            <w:r w:rsidRPr="007638A5">
              <w:rPr>
                <w:rFonts w:cs="Arial"/>
                <w:szCs w:val="22"/>
              </w:rPr>
              <w:lastRenderedPageBreak/>
              <w:t xml:space="preserve">fitness wearables. </w:t>
            </w:r>
          </w:p>
          <w:p w14:paraId="3A13E2B6" w14:textId="77777777" w:rsidR="00276015" w:rsidRDefault="00E10062" w:rsidP="00D854F1">
            <w:pPr>
              <w:pStyle w:val="Tabletext"/>
              <w:widowControl w:val="0"/>
              <w:rPr>
                <w:rFonts w:cs="Arial"/>
                <w:szCs w:val="22"/>
              </w:rPr>
            </w:pPr>
            <w:r w:rsidRPr="007638A5">
              <w:rPr>
                <w:rFonts w:cs="Arial"/>
                <w:szCs w:val="22"/>
              </w:rPr>
              <w:t>Symptom or mood diaries.</w:t>
            </w:r>
          </w:p>
          <w:p w14:paraId="21D05D14" w14:textId="1F274935" w:rsidR="00E10062" w:rsidRPr="007638A5" w:rsidRDefault="00276015" w:rsidP="00D854F1">
            <w:pPr>
              <w:pStyle w:val="Tabletext"/>
              <w:widowControl w:val="0"/>
              <w:rPr>
                <w:rFonts w:cs="Arial"/>
                <w:szCs w:val="22"/>
              </w:rPr>
            </w:pPr>
            <w:r w:rsidRPr="00653FAF">
              <w:rPr>
                <w:b/>
              </w:rPr>
              <w:t>Examples</w:t>
            </w:r>
            <w:r w:rsidR="00653FAF">
              <w:rPr>
                <w:b/>
              </w:rPr>
              <w:t xml:space="preserve">: </w:t>
            </w:r>
            <w:proofErr w:type="spellStart"/>
            <w:r>
              <w:rPr>
                <w:rFonts w:cs="Arial"/>
                <w:szCs w:val="22"/>
              </w:rPr>
              <w:t>Well.Me</w:t>
            </w:r>
            <w:proofErr w:type="spellEnd"/>
            <w:r w:rsidR="002C125A">
              <w:rPr>
                <w:rFonts w:cs="Arial"/>
                <w:szCs w:val="22"/>
              </w:rPr>
              <w:t xml:space="preserve"> (</w:t>
            </w:r>
            <w:r w:rsidR="002C125A" w:rsidRPr="002C125A">
              <w:rPr>
                <w:rFonts w:cs="Arial"/>
                <w:szCs w:val="22"/>
              </w:rPr>
              <w:t xml:space="preserve">Wellpoint Group </w:t>
            </w:r>
            <w:r w:rsidR="002C125A">
              <w:rPr>
                <w:rFonts w:cs="Arial"/>
                <w:szCs w:val="22"/>
              </w:rPr>
              <w:t>Ltd)</w:t>
            </w:r>
            <w:r>
              <w:rPr>
                <w:rFonts w:cs="Arial"/>
                <w:szCs w:val="22"/>
              </w:rPr>
              <w:t xml:space="preserve">, </w:t>
            </w:r>
            <w:proofErr w:type="spellStart"/>
            <w:r>
              <w:rPr>
                <w:rFonts w:cs="Arial"/>
                <w:szCs w:val="22"/>
              </w:rPr>
              <w:t>MoleCare</w:t>
            </w:r>
            <w:proofErr w:type="spellEnd"/>
            <w:r w:rsidR="002C125A">
              <w:rPr>
                <w:rFonts w:cs="Arial"/>
                <w:szCs w:val="22"/>
              </w:rPr>
              <w:t xml:space="preserve"> (</w:t>
            </w:r>
            <w:r w:rsidR="002C125A" w:rsidRPr="002C125A">
              <w:rPr>
                <w:rFonts w:cs="Arial"/>
                <w:szCs w:val="22"/>
              </w:rPr>
              <w:t>2AY Ltd</w:t>
            </w:r>
            <w:r w:rsidR="002C125A">
              <w:rPr>
                <w:rFonts w:cs="Arial"/>
                <w:szCs w:val="22"/>
              </w:rPr>
              <w:t>)</w:t>
            </w:r>
            <w:r>
              <w:rPr>
                <w:rFonts w:cs="Arial"/>
                <w:szCs w:val="22"/>
              </w:rPr>
              <w:t xml:space="preserve">, </w:t>
            </w:r>
            <w:proofErr w:type="spellStart"/>
            <w:r>
              <w:rPr>
                <w:rFonts w:cs="Arial"/>
                <w:szCs w:val="22"/>
              </w:rPr>
              <w:t>OWise</w:t>
            </w:r>
            <w:proofErr w:type="spellEnd"/>
            <w:r>
              <w:rPr>
                <w:rFonts w:cs="Arial"/>
                <w:szCs w:val="22"/>
              </w:rPr>
              <w:t xml:space="preserve"> breast cancer</w:t>
            </w:r>
            <w:r w:rsidR="006807DB">
              <w:rPr>
                <w:rFonts w:cs="Arial"/>
                <w:szCs w:val="22"/>
              </w:rPr>
              <w:t xml:space="preserve"> (</w:t>
            </w:r>
            <w:proofErr w:type="spellStart"/>
            <w:r w:rsidR="006807DB" w:rsidRPr="006807DB">
              <w:rPr>
                <w:rFonts w:cs="Arial"/>
                <w:szCs w:val="22"/>
              </w:rPr>
              <w:t>Px</w:t>
            </w:r>
            <w:proofErr w:type="spellEnd"/>
            <w:r w:rsidR="006807DB" w:rsidRPr="006807DB">
              <w:rPr>
                <w:rFonts w:cs="Arial"/>
                <w:szCs w:val="22"/>
              </w:rPr>
              <w:t xml:space="preserve"> HealthCare Ltd</w:t>
            </w:r>
            <w:r w:rsidR="006807DB" w:rsidRPr="00AF6E34">
              <w:rPr>
                <w:rFonts w:cs="Arial"/>
                <w:szCs w:val="22"/>
              </w:rPr>
              <w:t>)</w:t>
            </w:r>
            <w:r w:rsidR="00F47E0E">
              <w:rPr>
                <w:rFonts w:cs="Arial"/>
                <w:szCs w:val="22"/>
              </w:rPr>
              <w:t>.</w:t>
            </w:r>
          </w:p>
        </w:tc>
        <w:tc>
          <w:tcPr>
            <w:tcW w:w="940" w:type="pct"/>
          </w:tcPr>
          <w:p w14:paraId="1F4B5234" w14:textId="238ADC85" w:rsidR="00B6077F" w:rsidRDefault="00E10062" w:rsidP="00D854F1">
            <w:pPr>
              <w:pStyle w:val="Tabletext"/>
              <w:widowControl w:val="0"/>
              <w:rPr>
                <w:rFonts w:cs="Arial"/>
                <w:szCs w:val="22"/>
              </w:rPr>
            </w:pPr>
            <w:r w:rsidRPr="007638A5">
              <w:rPr>
                <w:rFonts w:cs="Arial"/>
                <w:szCs w:val="22"/>
              </w:rPr>
              <w:lastRenderedPageBreak/>
              <w:t xml:space="preserve">DHTs that share information with </w:t>
            </w:r>
            <w:r w:rsidRPr="007638A5">
              <w:rPr>
                <w:rFonts w:cs="Arial"/>
                <w:szCs w:val="22"/>
              </w:rPr>
              <w:lastRenderedPageBreak/>
              <w:t xml:space="preserve">professionals, </w:t>
            </w:r>
            <w:proofErr w:type="gramStart"/>
            <w:r w:rsidRPr="007638A5">
              <w:rPr>
                <w:rFonts w:cs="Arial"/>
                <w:szCs w:val="22"/>
              </w:rPr>
              <w:t>carers</w:t>
            </w:r>
            <w:proofErr w:type="gramEnd"/>
            <w:r w:rsidRPr="007638A5">
              <w:rPr>
                <w:rFonts w:cs="Arial"/>
                <w:szCs w:val="22"/>
              </w:rPr>
              <w:t xml:space="preserve"> or other </w:t>
            </w:r>
            <w:r w:rsidR="00AC5EA6">
              <w:rPr>
                <w:rFonts w:cs="Arial"/>
                <w:szCs w:val="22"/>
              </w:rPr>
              <w:t>service user</w:t>
            </w:r>
            <w:r w:rsidRPr="007638A5">
              <w:rPr>
                <w:rFonts w:cs="Arial"/>
                <w:szCs w:val="22"/>
              </w:rPr>
              <w:t xml:space="preserve">s. </w:t>
            </w:r>
          </w:p>
          <w:p w14:paraId="518F8D46" w14:textId="3634B688" w:rsidR="00E10062" w:rsidRPr="007638A5" w:rsidRDefault="00E10062" w:rsidP="00D854F1">
            <w:pPr>
              <w:pStyle w:val="Tabletext"/>
              <w:widowControl w:val="0"/>
              <w:rPr>
                <w:rFonts w:cs="Arial"/>
                <w:szCs w:val="22"/>
              </w:rPr>
            </w:pPr>
            <w:r w:rsidRPr="007638A5">
              <w:rPr>
                <w:rFonts w:cs="Arial"/>
                <w:szCs w:val="22"/>
              </w:rPr>
              <w:t>DHTs that provide treatment for or diagnosis of a condition.</w:t>
            </w:r>
          </w:p>
        </w:tc>
      </w:tr>
      <w:tr w:rsidR="00E10062" w:rsidRPr="007638A5" w14:paraId="6DDA4F10" w14:textId="77777777" w:rsidTr="00B6077F">
        <w:tc>
          <w:tcPr>
            <w:tcW w:w="1015" w:type="pct"/>
          </w:tcPr>
          <w:p w14:paraId="445AB7A8" w14:textId="0D5FA2F6" w:rsidR="00764A0B" w:rsidRDefault="00E10062" w:rsidP="00D854F1">
            <w:pPr>
              <w:pStyle w:val="Tabletext"/>
              <w:widowControl w:val="0"/>
              <w:rPr>
                <w:rFonts w:cs="Arial"/>
                <w:b/>
                <w:bCs/>
                <w:szCs w:val="22"/>
              </w:rPr>
            </w:pPr>
            <w:r w:rsidRPr="007638A5">
              <w:rPr>
                <w:rFonts w:cs="Arial"/>
                <w:b/>
                <w:bCs/>
                <w:szCs w:val="22"/>
              </w:rPr>
              <w:lastRenderedPageBreak/>
              <w:t xml:space="preserve">Tier B: </w:t>
            </w:r>
            <w:r w:rsidR="00467B6B">
              <w:rPr>
                <w:rFonts w:cs="Arial"/>
                <w:b/>
                <w:bCs/>
                <w:szCs w:val="22"/>
              </w:rPr>
              <w:t>managing own health and wellness</w:t>
            </w:r>
          </w:p>
          <w:p w14:paraId="700265C1" w14:textId="77777777" w:rsidR="00E10062" w:rsidRPr="007638A5" w:rsidRDefault="00E10062" w:rsidP="00796FB5">
            <w:pPr>
              <w:pStyle w:val="Tabletext"/>
              <w:widowControl w:val="0"/>
              <w:rPr>
                <w:rFonts w:cs="Arial"/>
                <w:b/>
                <w:bCs/>
                <w:szCs w:val="22"/>
              </w:rPr>
            </w:pPr>
          </w:p>
        </w:tc>
        <w:tc>
          <w:tcPr>
            <w:tcW w:w="1015" w:type="pct"/>
          </w:tcPr>
          <w:p w14:paraId="2706A329" w14:textId="77777777" w:rsidR="00E10062" w:rsidRPr="007638A5" w:rsidRDefault="00E10062" w:rsidP="00D854F1">
            <w:pPr>
              <w:pStyle w:val="Tabletext"/>
              <w:widowControl w:val="0"/>
              <w:rPr>
                <w:rFonts w:cs="Arial"/>
                <w:szCs w:val="22"/>
              </w:rPr>
            </w:pPr>
            <w:r w:rsidRPr="007638A5">
              <w:rPr>
                <w:rFonts w:cs="Arial"/>
                <w:szCs w:val="22"/>
              </w:rPr>
              <w:t>Promoting good health.</w:t>
            </w:r>
          </w:p>
          <w:p w14:paraId="44AE3416" w14:textId="58182B07" w:rsidR="00E10062" w:rsidRPr="007638A5" w:rsidRDefault="00E10062" w:rsidP="00D854F1">
            <w:pPr>
              <w:pStyle w:val="Tabletext"/>
              <w:widowControl w:val="0"/>
              <w:rPr>
                <w:rFonts w:cs="Arial"/>
                <w:szCs w:val="22"/>
              </w:rPr>
            </w:pPr>
            <w:r w:rsidRPr="007638A5">
              <w:rPr>
                <w:rFonts w:cs="Arial"/>
                <w:szCs w:val="22"/>
              </w:rPr>
              <w:t>Population</w:t>
            </w:r>
            <w:r w:rsidR="00B6077F">
              <w:rPr>
                <w:rFonts w:cs="Arial"/>
                <w:szCs w:val="22"/>
              </w:rPr>
              <w:t>-</w:t>
            </w:r>
            <w:r w:rsidRPr="007638A5">
              <w:rPr>
                <w:rFonts w:cs="Arial"/>
                <w:szCs w:val="22"/>
              </w:rPr>
              <w:t xml:space="preserve">level information to help </w:t>
            </w:r>
            <w:r w:rsidR="00653FAF">
              <w:rPr>
                <w:rFonts w:cs="Arial"/>
                <w:szCs w:val="22"/>
              </w:rPr>
              <w:t xml:space="preserve">people </w:t>
            </w:r>
            <w:r w:rsidR="00033EBB">
              <w:rPr>
                <w:rFonts w:cs="Arial"/>
                <w:szCs w:val="22"/>
              </w:rPr>
              <w:t xml:space="preserve">and service users to </w:t>
            </w:r>
            <w:r w:rsidRPr="007638A5">
              <w:rPr>
                <w:rFonts w:cs="Arial"/>
                <w:szCs w:val="22"/>
              </w:rPr>
              <w:t xml:space="preserve">maintain healthy lifestyles and manage conditions. </w:t>
            </w:r>
          </w:p>
        </w:tc>
        <w:tc>
          <w:tcPr>
            <w:tcW w:w="1015" w:type="pct"/>
          </w:tcPr>
          <w:p w14:paraId="6A1101D0" w14:textId="68795CA8" w:rsidR="00E10062" w:rsidRPr="007638A5" w:rsidRDefault="00E10062" w:rsidP="00D854F1">
            <w:pPr>
              <w:pStyle w:val="Tabletext"/>
              <w:widowControl w:val="0"/>
              <w:rPr>
                <w:rFonts w:cs="Arial"/>
                <w:szCs w:val="22"/>
              </w:rPr>
            </w:pPr>
            <w:r w:rsidRPr="007638A5">
              <w:rPr>
                <w:rFonts w:cs="Arial"/>
                <w:szCs w:val="22"/>
              </w:rPr>
              <w:t xml:space="preserve">Provides information and resources to </w:t>
            </w:r>
            <w:r w:rsidR="00AC5EA6">
              <w:rPr>
                <w:rFonts w:cs="Arial"/>
                <w:szCs w:val="22"/>
              </w:rPr>
              <w:t>service user</w:t>
            </w:r>
            <w:r w:rsidRPr="007638A5">
              <w:rPr>
                <w:rFonts w:cs="Arial"/>
                <w:szCs w:val="22"/>
              </w:rPr>
              <w:t>s. May encourage behaviours that promote good health</w:t>
            </w:r>
            <w:r w:rsidR="00B6077F">
              <w:rPr>
                <w:rFonts w:cs="Arial"/>
                <w:szCs w:val="22"/>
              </w:rPr>
              <w:t xml:space="preserve"> and</w:t>
            </w:r>
            <w:r w:rsidRPr="007638A5">
              <w:rPr>
                <w:rFonts w:cs="Arial"/>
                <w:szCs w:val="22"/>
              </w:rPr>
              <w:t xml:space="preserve"> address issues such as smoking, eating</w:t>
            </w:r>
            <w:r w:rsidR="00B6077F">
              <w:rPr>
                <w:rFonts w:cs="Arial"/>
                <w:szCs w:val="22"/>
              </w:rPr>
              <w:t xml:space="preserve"> </w:t>
            </w:r>
            <w:r w:rsidRPr="007638A5">
              <w:rPr>
                <w:rFonts w:cs="Arial"/>
                <w:szCs w:val="22"/>
              </w:rPr>
              <w:t xml:space="preserve">and exercise. May also provide information about specific conditions. </w:t>
            </w:r>
          </w:p>
        </w:tc>
        <w:tc>
          <w:tcPr>
            <w:tcW w:w="1015" w:type="pct"/>
          </w:tcPr>
          <w:p w14:paraId="0695E488" w14:textId="1AF5705F" w:rsidR="00B6077F" w:rsidRDefault="00653FAF" w:rsidP="00D854F1">
            <w:pPr>
              <w:pStyle w:val="Tabletext"/>
              <w:widowControl w:val="0"/>
              <w:rPr>
                <w:rFonts w:cs="Arial"/>
                <w:szCs w:val="22"/>
              </w:rPr>
            </w:pPr>
            <w:r>
              <w:rPr>
                <w:rFonts w:cs="Arial"/>
                <w:szCs w:val="22"/>
              </w:rPr>
              <w:t>DHTs</w:t>
            </w:r>
            <w:r w:rsidRPr="007638A5">
              <w:rPr>
                <w:rFonts w:cs="Arial"/>
                <w:szCs w:val="22"/>
              </w:rPr>
              <w:t xml:space="preserve"> </w:t>
            </w:r>
            <w:r w:rsidR="00E10062" w:rsidRPr="007638A5">
              <w:rPr>
                <w:rFonts w:cs="Arial"/>
                <w:szCs w:val="22"/>
              </w:rPr>
              <w:t>used as part of general weight</w:t>
            </w:r>
            <w:r w:rsidR="00B6077F">
              <w:rPr>
                <w:rFonts w:cs="Arial"/>
                <w:szCs w:val="22"/>
              </w:rPr>
              <w:t>-</w:t>
            </w:r>
            <w:r w:rsidR="00E10062" w:rsidRPr="007638A5">
              <w:rPr>
                <w:rFonts w:cs="Arial"/>
                <w:szCs w:val="22"/>
              </w:rPr>
              <w:t xml:space="preserve">loss programmes. </w:t>
            </w:r>
          </w:p>
          <w:p w14:paraId="221E5974" w14:textId="77777777" w:rsidR="00E10062" w:rsidRDefault="00E10062" w:rsidP="00D854F1">
            <w:pPr>
              <w:pStyle w:val="Tabletext"/>
              <w:widowControl w:val="0"/>
              <w:rPr>
                <w:rFonts w:cs="Arial"/>
                <w:szCs w:val="22"/>
              </w:rPr>
            </w:pPr>
            <w:r w:rsidRPr="007638A5">
              <w:rPr>
                <w:rFonts w:cs="Arial"/>
                <w:szCs w:val="22"/>
              </w:rPr>
              <w:t>DHTs that aid good sleep habits.</w:t>
            </w:r>
          </w:p>
          <w:p w14:paraId="297F6FE4" w14:textId="1D6E8A9D" w:rsidR="00276015" w:rsidRPr="007638A5" w:rsidRDefault="00276015" w:rsidP="00D854F1">
            <w:pPr>
              <w:pStyle w:val="Tabletext"/>
              <w:widowControl w:val="0"/>
              <w:rPr>
                <w:rFonts w:cs="Arial"/>
                <w:szCs w:val="22"/>
              </w:rPr>
            </w:pPr>
            <w:r w:rsidRPr="00653FAF">
              <w:rPr>
                <w:b/>
              </w:rPr>
              <w:t>Examples:</w:t>
            </w:r>
            <w:r>
              <w:rPr>
                <w:rFonts w:cs="Arial"/>
                <w:szCs w:val="22"/>
              </w:rPr>
              <w:t xml:space="preserve"> Headspace</w:t>
            </w:r>
            <w:r w:rsidR="006807DB">
              <w:rPr>
                <w:rFonts w:cs="Arial"/>
                <w:szCs w:val="22"/>
              </w:rPr>
              <w:t xml:space="preserve"> (</w:t>
            </w:r>
            <w:r w:rsidR="006807DB" w:rsidRPr="006807DB">
              <w:rPr>
                <w:rFonts w:cs="Arial"/>
                <w:szCs w:val="22"/>
              </w:rPr>
              <w:t>Headspace Health</w:t>
            </w:r>
            <w:r w:rsidR="006807DB">
              <w:rPr>
                <w:rFonts w:cs="Arial"/>
                <w:szCs w:val="22"/>
              </w:rPr>
              <w:t>)</w:t>
            </w:r>
            <w:r>
              <w:rPr>
                <w:rFonts w:cs="Arial"/>
                <w:szCs w:val="22"/>
              </w:rPr>
              <w:t xml:space="preserve">, </w:t>
            </w:r>
            <w:proofErr w:type="spellStart"/>
            <w:r w:rsidR="00DA1FF5">
              <w:rPr>
                <w:rFonts w:cs="Arial"/>
                <w:szCs w:val="22"/>
              </w:rPr>
              <w:t>LymEx</w:t>
            </w:r>
            <w:proofErr w:type="spellEnd"/>
            <w:r w:rsidR="00A42690">
              <w:rPr>
                <w:rFonts w:cs="Arial"/>
                <w:szCs w:val="22"/>
              </w:rPr>
              <w:t xml:space="preserve"> (</w:t>
            </w:r>
            <w:r w:rsidR="00B3151F">
              <w:rPr>
                <w:rFonts w:cs="Arial"/>
                <w:szCs w:val="22"/>
              </w:rPr>
              <w:t>US Department of Health &amp; Human Services</w:t>
            </w:r>
            <w:r w:rsidR="00A42690" w:rsidRPr="00AF6E34">
              <w:rPr>
                <w:rFonts w:cs="Arial"/>
                <w:szCs w:val="22"/>
              </w:rPr>
              <w:t>)</w:t>
            </w:r>
            <w:r w:rsidR="00ED102A">
              <w:rPr>
                <w:rFonts w:cs="Arial"/>
                <w:szCs w:val="22"/>
              </w:rPr>
              <w:t>.</w:t>
            </w:r>
            <w:r>
              <w:rPr>
                <w:rFonts w:cs="Arial"/>
                <w:szCs w:val="22"/>
              </w:rPr>
              <w:t xml:space="preserve"> </w:t>
            </w:r>
          </w:p>
        </w:tc>
        <w:tc>
          <w:tcPr>
            <w:tcW w:w="940" w:type="pct"/>
          </w:tcPr>
          <w:p w14:paraId="18F443D0" w14:textId="62C6D348" w:rsidR="00E10062" w:rsidRPr="007638A5" w:rsidRDefault="00E10062" w:rsidP="00D854F1">
            <w:pPr>
              <w:pStyle w:val="Tabletext"/>
              <w:widowControl w:val="0"/>
              <w:rPr>
                <w:rFonts w:cs="Arial"/>
                <w:szCs w:val="22"/>
              </w:rPr>
            </w:pPr>
            <w:r w:rsidRPr="007638A5">
              <w:rPr>
                <w:rFonts w:cs="Arial"/>
                <w:szCs w:val="22"/>
              </w:rPr>
              <w:t>DHTs that describe themselves as a treatment for a diagnosed condition.</w:t>
            </w:r>
          </w:p>
        </w:tc>
      </w:tr>
      <w:tr w:rsidR="00E10062" w:rsidRPr="007638A5" w14:paraId="2B1AE898" w14:textId="77777777" w:rsidTr="00B6077F">
        <w:tc>
          <w:tcPr>
            <w:tcW w:w="1015" w:type="pct"/>
          </w:tcPr>
          <w:p w14:paraId="6B18041C" w14:textId="77777777" w:rsidR="00E10062" w:rsidRPr="007638A5" w:rsidRDefault="00E10062" w:rsidP="00D854F1">
            <w:pPr>
              <w:pStyle w:val="Tabletext"/>
              <w:widowControl w:val="0"/>
              <w:rPr>
                <w:rFonts w:cs="Arial"/>
                <w:b/>
                <w:bCs/>
                <w:szCs w:val="22"/>
              </w:rPr>
            </w:pPr>
            <w:r w:rsidRPr="007638A5">
              <w:rPr>
                <w:rFonts w:cs="Arial"/>
                <w:b/>
                <w:bCs/>
                <w:szCs w:val="22"/>
              </w:rPr>
              <w:t>Tier C: treating and diagnosing</w:t>
            </w:r>
          </w:p>
          <w:p w14:paraId="13628436" w14:textId="3D11F4CE" w:rsidR="00E10062" w:rsidRPr="007638A5" w:rsidRDefault="00E10062" w:rsidP="00D854F1">
            <w:pPr>
              <w:pStyle w:val="Tabletext"/>
              <w:widowControl w:val="0"/>
              <w:rPr>
                <w:rFonts w:cs="Arial"/>
                <w:szCs w:val="22"/>
              </w:rPr>
            </w:pPr>
          </w:p>
        </w:tc>
        <w:tc>
          <w:tcPr>
            <w:tcW w:w="1015" w:type="pct"/>
          </w:tcPr>
          <w:p w14:paraId="4576BD98" w14:textId="448376B6" w:rsidR="00E10062" w:rsidRPr="007638A5" w:rsidRDefault="00E10062" w:rsidP="00D854F1">
            <w:pPr>
              <w:pStyle w:val="Tabletext"/>
              <w:widowControl w:val="0"/>
              <w:rPr>
                <w:rFonts w:cs="Arial"/>
                <w:szCs w:val="22"/>
              </w:rPr>
            </w:pPr>
            <w:r w:rsidRPr="007638A5">
              <w:rPr>
                <w:rFonts w:cs="Arial"/>
                <w:szCs w:val="22"/>
              </w:rPr>
              <w:t>Inform clinical management</w:t>
            </w:r>
            <w:r w:rsidR="008A0049">
              <w:rPr>
                <w:rFonts w:cs="Arial"/>
                <w:szCs w:val="22"/>
              </w:rPr>
              <w:t>.</w:t>
            </w:r>
          </w:p>
        </w:tc>
        <w:tc>
          <w:tcPr>
            <w:tcW w:w="1015" w:type="pct"/>
          </w:tcPr>
          <w:p w14:paraId="788D08E7" w14:textId="58C1D0F0" w:rsidR="00E10062" w:rsidRPr="007638A5" w:rsidRDefault="00E10062" w:rsidP="00D854F1">
            <w:pPr>
              <w:pStyle w:val="Tabletext"/>
              <w:widowControl w:val="0"/>
              <w:rPr>
                <w:rFonts w:cs="Arial"/>
                <w:szCs w:val="22"/>
              </w:rPr>
            </w:pPr>
            <w:r w:rsidRPr="007638A5">
              <w:rPr>
                <w:rFonts w:cs="Arial"/>
                <w:szCs w:val="22"/>
              </w:rPr>
              <w:t xml:space="preserve">DHTs that record </w:t>
            </w:r>
            <w:r w:rsidR="00653FAF">
              <w:rPr>
                <w:rFonts w:cs="Arial"/>
                <w:szCs w:val="22"/>
              </w:rPr>
              <w:t xml:space="preserve">and calculate </w:t>
            </w:r>
            <w:r w:rsidRPr="007638A5">
              <w:rPr>
                <w:rFonts w:cs="Arial"/>
                <w:szCs w:val="22"/>
              </w:rPr>
              <w:t>data and transmit the data to a professional, carer or third-party organisation, to inform clinical management decisions in the future. Information provided by the DHT will not trigger an immediate or near-term action</w:t>
            </w:r>
            <w:r w:rsidR="008A0049">
              <w:rPr>
                <w:rFonts w:cs="Arial"/>
                <w:szCs w:val="22"/>
              </w:rPr>
              <w:t>.</w:t>
            </w:r>
          </w:p>
        </w:tc>
        <w:tc>
          <w:tcPr>
            <w:tcW w:w="1015" w:type="pct"/>
          </w:tcPr>
          <w:p w14:paraId="559B7316" w14:textId="4712DDDD" w:rsidR="00E10062" w:rsidRDefault="00E10062" w:rsidP="00D854F1">
            <w:pPr>
              <w:pStyle w:val="Tabletext"/>
              <w:widowControl w:val="0"/>
              <w:rPr>
                <w:rFonts w:cs="Arial"/>
                <w:szCs w:val="22"/>
              </w:rPr>
            </w:pPr>
            <w:r w:rsidRPr="007638A5">
              <w:rPr>
                <w:rFonts w:cs="Arial"/>
                <w:szCs w:val="22"/>
              </w:rPr>
              <w:t>DHT that stores historical blood pressure information for a healthcare provider's later review.</w:t>
            </w:r>
          </w:p>
          <w:p w14:paraId="39D65270" w14:textId="74E958A0" w:rsidR="00960BA8" w:rsidRPr="007638A5" w:rsidRDefault="00960BA8" w:rsidP="00D854F1">
            <w:pPr>
              <w:pStyle w:val="Tabletext"/>
              <w:widowControl w:val="0"/>
              <w:rPr>
                <w:rFonts w:cs="Arial"/>
                <w:szCs w:val="22"/>
              </w:rPr>
            </w:pPr>
            <w:r>
              <w:rPr>
                <w:rFonts w:cs="Arial"/>
                <w:szCs w:val="22"/>
              </w:rPr>
              <w:t xml:space="preserve">Symptom monitors where data is automatically shared with care teams for </w:t>
            </w:r>
            <w:r w:rsidR="004B3895">
              <w:rPr>
                <w:rFonts w:cs="Arial"/>
                <w:szCs w:val="22"/>
              </w:rPr>
              <w:t xml:space="preserve">later </w:t>
            </w:r>
            <w:r>
              <w:rPr>
                <w:rFonts w:cs="Arial"/>
                <w:szCs w:val="22"/>
              </w:rPr>
              <w:t>review.</w:t>
            </w:r>
          </w:p>
          <w:p w14:paraId="479B05DB" w14:textId="30C396F4" w:rsidR="00E10062" w:rsidRPr="007638A5" w:rsidRDefault="00F60E4C" w:rsidP="00D854F1">
            <w:pPr>
              <w:pStyle w:val="Tabletext"/>
              <w:widowControl w:val="0"/>
              <w:rPr>
                <w:rFonts w:cs="Arial"/>
                <w:szCs w:val="22"/>
              </w:rPr>
            </w:pPr>
            <w:r w:rsidRPr="00344663">
              <w:rPr>
                <w:b/>
              </w:rPr>
              <w:t>Examples:</w:t>
            </w:r>
            <w:r>
              <w:rPr>
                <w:rFonts w:cs="Arial"/>
                <w:szCs w:val="22"/>
              </w:rPr>
              <w:t xml:space="preserve"> </w:t>
            </w:r>
            <w:proofErr w:type="spellStart"/>
            <w:r>
              <w:rPr>
                <w:rFonts w:cs="Arial"/>
                <w:szCs w:val="22"/>
              </w:rPr>
              <w:t>Fibricheck</w:t>
            </w:r>
            <w:proofErr w:type="spellEnd"/>
            <w:r w:rsidR="002C151E">
              <w:rPr>
                <w:rFonts w:cs="Arial"/>
                <w:szCs w:val="22"/>
              </w:rPr>
              <w:t xml:space="preserve"> (</w:t>
            </w:r>
            <w:r w:rsidR="002C151E" w:rsidRPr="002C151E">
              <w:rPr>
                <w:rFonts w:cs="Arial"/>
                <w:szCs w:val="22"/>
              </w:rPr>
              <w:t>Corda Campus</w:t>
            </w:r>
            <w:r w:rsidR="002C151E">
              <w:rPr>
                <w:rFonts w:cs="Arial"/>
                <w:szCs w:val="22"/>
              </w:rPr>
              <w:t>)</w:t>
            </w:r>
            <w:r>
              <w:rPr>
                <w:rFonts w:cs="Arial"/>
                <w:szCs w:val="22"/>
              </w:rPr>
              <w:t xml:space="preserve">, </w:t>
            </w:r>
            <w:proofErr w:type="spellStart"/>
            <w:r>
              <w:rPr>
                <w:rFonts w:cs="Arial"/>
                <w:szCs w:val="22"/>
              </w:rPr>
              <w:t>Livongo</w:t>
            </w:r>
            <w:proofErr w:type="spellEnd"/>
            <w:r w:rsidR="002C151E">
              <w:rPr>
                <w:rFonts w:cs="Arial"/>
                <w:szCs w:val="22"/>
              </w:rPr>
              <w:t xml:space="preserve"> (</w:t>
            </w:r>
            <w:r w:rsidR="002C151E" w:rsidRPr="002C151E">
              <w:rPr>
                <w:rFonts w:cs="Arial"/>
                <w:szCs w:val="22"/>
              </w:rPr>
              <w:t>Teladoc Health</w:t>
            </w:r>
            <w:r w:rsidR="002C151E">
              <w:rPr>
                <w:rFonts w:cs="Arial"/>
                <w:szCs w:val="22"/>
              </w:rPr>
              <w:t>)</w:t>
            </w:r>
            <w:r w:rsidR="00344663">
              <w:rPr>
                <w:rFonts w:cs="Arial"/>
                <w:szCs w:val="22"/>
              </w:rPr>
              <w:t>.</w:t>
            </w:r>
          </w:p>
        </w:tc>
        <w:tc>
          <w:tcPr>
            <w:tcW w:w="940" w:type="pct"/>
          </w:tcPr>
          <w:p w14:paraId="1303BA77" w14:textId="3BA14808" w:rsidR="008A0049" w:rsidRDefault="00E10062" w:rsidP="00D854F1">
            <w:pPr>
              <w:pStyle w:val="Tabletext"/>
              <w:widowControl w:val="0"/>
              <w:rPr>
                <w:rFonts w:cs="Arial"/>
                <w:szCs w:val="22"/>
              </w:rPr>
            </w:pPr>
            <w:r w:rsidRPr="007638A5">
              <w:rPr>
                <w:rFonts w:cs="Arial"/>
                <w:szCs w:val="22"/>
              </w:rPr>
              <w:t xml:space="preserve">DHTs </w:t>
            </w:r>
            <w:r w:rsidR="00960BA8">
              <w:rPr>
                <w:rFonts w:cs="Arial"/>
                <w:szCs w:val="22"/>
              </w:rPr>
              <w:t xml:space="preserve">whose intended </w:t>
            </w:r>
            <w:r w:rsidR="004B11F1">
              <w:rPr>
                <w:rFonts w:cs="Arial"/>
                <w:szCs w:val="22"/>
              </w:rPr>
              <w:t>purpose</w:t>
            </w:r>
            <w:r w:rsidR="00960BA8">
              <w:rPr>
                <w:rFonts w:cs="Arial"/>
                <w:szCs w:val="22"/>
              </w:rPr>
              <w:t xml:space="preserve"> is</w:t>
            </w:r>
            <w:r w:rsidRPr="007638A5">
              <w:rPr>
                <w:rFonts w:cs="Arial"/>
                <w:szCs w:val="22"/>
              </w:rPr>
              <w:t xml:space="preserve"> a treatment for a diagnosed condition. </w:t>
            </w:r>
          </w:p>
          <w:p w14:paraId="213C8DDC" w14:textId="1122EFA3" w:rsidR="00E10062" w:rsidRPr="007638A5" w:rsidRDefault="00960BA8" w:rsidP="00D854F1">
            <w:pPr>
              <w:pStyle w:val="Tabletext"/>
              <w:widowControl w:val="0"/>
              <w:rPr>
                <w:rFonts w:cs="Arial"/>
                <w:szCs w:val="22"/>
              </w:rPr>
            </w:pPr>
            <w:r w:rsidRPr="007638A5">
              <w:rPr>
                <w:rFonts w:cs="Arial"/>
                <w:szCs w:val="22"/>
              </w:rPr>
              <w:t>D</w:t>
            </w:r>
            <w:r>
              <w:rPr>
                <w:rFonts w:cs="Arial"/>
                <w:szCs w:val="22"/>
              </w:rPr>
              <w:t>HT</w:t>
            </w:r>
            <w:r w:rsidRPr="007638A5">
              <w:rPr>
                <w:rFonts w:cs="Arial"/>
                <w:szCs w:val="22"/>
              </w:rPr>
              <w:t xml:space="preserve">s </w:t>
            </w:r>
            <w:r w:rsidR="00E10062" w:rsidRPr="007638A5">
              <w:rPr>
                <w:rFonts w:cs="Arial"/>
                <w:szCs w:val="22"/>
              </w:rPr>
              <w:t xml:space="preserve">that </w:t>
            </w:r>
            <w:r>
              <w:rPr>
                <w:rFonts w:cs="Arial"/>
                <w:szCs w:val="22"/>
              </w:rPr>
              <w:t>monitor a condition to</w:t>
            </w:r>
            <w:r w:rsidR="00E10062" w:rsidRPr="007638A5">
              <w:rPr>
                <w:rFonts w:cs="Arial"/>
                <w:szCs w:val="22"/>
              </w:rPr>
              <w:t xml:space="preserve"> trigger immediate or near-term action. </w:t>
            </w:r>
          </w:p>
        </w:tc>
      </w:tr>
      <w:tr w:rsidR="00E10062" w:rsidRPr="007638A5" w14:paraId="18911EBB" w14:textId="77777777" w:rsidTr="00B6077F">
        <w:tc>
          <w:tcPr>
            <w:tcW w:w="1015" w:type="pct"/>
          </w:tcPr>
          <w:p w14:paraId="4604798F" w14:textId="77777777" w:rsidR="00E10062" w:rsidRDefault="00E10062" w:rsidP="007638A5">
            <w:pPr>
              <w:pStyle w:val="Tableheading"/>
            </w:pPr>
            <w:r w:rsidRPr="007638A5">
              <w:t>Tier C: treating and diagnosing</w:t>
            </w:r>
          </w:p>
          <w:p w14:paraId="4259E77C" w14:textId="4031C21A" w:rsidR="004F56A7" w:rsidRPr="004F56A7" w:rsidRDefault="004F56A7" w:rsidP="007638A5">
            <w:pPr>
              <w:pStyle w:val="Tableheading"/>
              <w:rPr>
                <w:b w:val="0"/>
                <w:bCs/>
              </w:rPr>
            </w:pPr>
          </w:p>
        </w:tc>
        <w:tc>
          <w:tcPr>
            <w:tcW w:w="1015" w:type="pct"/>
          </w:tcPr>
          <w:p w14:paraId="0E1258D7" w14:textId="631C5F9F" w:rsidR="00E10062" w:rsidRPr="007638A5" w:rsidRDefault="00E10062" w:rsidP="00D854F1">
            <w:pPr>
              <w:pStyle w:val="Tabletext"/>
              <w:widowControl w:val="0"/>
              <w:rPr>
                <w:rFonts w:cs="Arial"/>
                <w:szCs w:val="22"/>
              </w:rPr>
            </w:pPr>
            <w:r w:rsidRPr="007638A5">
              <w:rPr>
                <w:rFonts w:cs="Arial"/>
                <w:szCs w:val="22"/>
              </w:rPr>
              <w:t>Drive clinical management</w:t>
            </w:r>
            <w:r w:rsidR="008A0049">
              <w:rPr>
                <w:rFonts w:cs="Arial"/>
                <w:szCs w:val="22"/>
              </w:rPr>
              <w:t>.</w:t>
            </w:r>
          </w:p>
        </w:tc>
        <w:tc>
          <w:tcPr>
            <w:tcW w:w="1015" w:type="pct"/>
          </w:tcPr>
          <w:p w14:paraId="70E6ECF2" w14:textId="04F362DD" w:rsidR="00E10062" w:rsidRPr="007638A5" w:rsidRDefault="00E10062" w:rsidP="00D854F1">
            <w:pPr>
              <w:pStyle w:val="Tabletext"/>
              <w:widowControl w:val="0"/>
            </w:pPr>
            <w:r w:rsidRPr="007638A5">
              <w:rPr>
                <w:rFonts w:eastAsiaTheme="minorEastAsia"/>
              </w:rPr>
              <w:t>Information provided by the DHT will be used to aid in treatment, aid in diagnoses, to triage or identify early signs of a disease or condition will be used to guide next diagnostics or next treatment interventions</w:t>
            </w:r>
            <w:r w:rsidR="008A0049">
              <w:rPr>
                <w:rFonts w:eastAsiaTheme="minorEastAsia"/>
              </w:rPr>
              <w:t>.</w:t>
            </w:r>
          </w:p>
        </w:tc>
        <w:tc>
          <w:tcPr>
            <w:tcW w:w="1015" w:type="pct"/>
          </w:tcPr>
          <w:p w14:paraId="6DAC4E44" w14:textId="3EE5B05F" w:rsidR="00E10062" w:rsidRDefault="00E10062" w:rsidP="00D854F1">
            <w:pPr>
              <w:pStyle w:val="Tabletext"/>
              <w:widowControl w:val="0"/>
              <w:rPr>
                <w:rFonts w:eastAsiaTheme="minorEastAsia"/>
              </w:rPr>
            </w:pPr>
            <w:r w:rsidRPr="007638A5">
              <w:rPr>
                <w:rFonts w:eastAsiaTheme="minorEastAsia"/>
              </w:rPr>
              <w:t>DHT that analyses heart rate data intended for a clinician as an aid in diagnosi</w:t>
            </w:r>
            <w:r w:rsidR="008A0049">
              <w:rPr>
                <w:rFonts w:eastAsiaTheme="minorEastAsia"/>
              </w:rPr>
              <w:t xml:space="preserve">ng </w:t>
            </w:r>
            <w:r w:rsidRPr="007638A5">
              <w:rPr>
                <w:rFonts w:eastAsiaTheme="minorEastAsia"/>
              </w:rPr>
              <w:t>arrhythmia.</w:t>
            </w:r>
          </w:p>
          <w:p w14:paraId="06437E4B" w14:textId="77777777" w:rsidR="00033EBB" w:rsidRDefault="00033EBB" w:rsidP="00033EBB">
            <w:pPr>
              <w:pStyle w:val="Tabletext"/>
              <w:widowControl w:val="0"/>
              <w:rPr>
                <w:rFonts w:cs="Arial"/>
                <w:szCs w:val="22"/>
              </w:rPr>
            </w:pPr>
            <w:r>
              <w:rPr>
                <w:rFonts w:cs="Arial"/>
                <w:szCs w:val="22"/>
              </w:rPr>
              <w:t xml:space="preserve">Triaging systems that use individual patient health data (such as vital signs, </w:t>
            </w:r>
            <w:proofErr w:type="gramStart"/>
            <w:r>
              <w:rPr>
                <w:rFonts w:cs="Arial"/>
                <w:szCs w:val="22"/>
              </w:rPr>
              <w:t>symptoms</w:t>
            </w:r>
            <w:proofErr w:type="gramEnd"/>
            <w:r>
              <w:rPr>
                <w:rFonts w:cs="Arial"/>
                <w:szCs w:val="22"/>
              </w:rPr>
              <w:t xml:space="preserve"> or self-reported health measures) to guide health and care decisions.</w:t>
            </w:r>
          </w:p>
          <w:p w14:paraId="661CECA2" w14:textId="5480FF14" w:rsidR="00033EBB" w:rsidRPr="007638A5" w:rsidRDefault="00391DDE" w:rsidP="00D854F1">
            <w:pPr>
              <w:pStyle w:val="Tabletext"/>
              <w:widowControl w:val="0"/>
            </w:pPr>
            <w:r w:rsidRPr="00344663">
              <w:rPr>
                <w:b/>
              </w:rPr>
              <w:t>Examples:</w:t>
            </w:r>
            <w:r>
              <w:t xml:space="preserve"> </w:t>
            </w:r>
            <w:proofErr w:type="spellStart"/>
            <w:r w:rsidR="00195916">
              <w:rPr>
                <w:rFonts w:eastAsiaTheme="minorEastAsia"/>
              </w:rPr>
              <w:t>HeartFlow</w:t>
            </w:r>
            <w:proofErr w:type="spellEnd"/>
            <w:r w:rsidR="00195916">
              <w:rPr>
                <w:rFonts w:eastAsiaTheme="minorEastAsia"/>
              </w:rPr>
              <w:t xml:space="preserve"> FFRCT (</w:t>
            </w:r>
            <w:proofErr w:type="spellStart"/>
            <w:r w:rsidR="00195916">
              <w:rPr>
                <w:rFonts w:eastAsiaTheme="minorEastAsia"/>
              </w:rPr>
              <w:t>HeartFlow</w:t>
            </w:r>
            <w:proofErr w:type="spellEnd"/>
            <w:r w:rsidR="00195916">
              <w:rPr>
                <w:rFonts w:eastAsiaTheme="minorEastAsia"/>
              </w:rPr>
              <w:t xml:space="preserve">), </w:t>
            </w:r>
            <w:r w:rsidR="006961C8">
              <w:t>Zio XT</w:t>
            </w:r>
            <w:r w:rsidR="00195916">
              <w:t xml:space="preserve"> (</w:t>
            </w:r>
            <w:proofErr w:type="spellStart"/>
            <w:r w:rsidR="00195916" w:rsidRPr="00195916">
              <w:t>Irhythm</w:t>
            </w:r>
            <w:proofErr w:type="spellEnd"/>
            <w:r w:rsidR="00195916">
              <w:t>)</w:t>
            </w:r>
            <w:r w:rsidR="00344663">
              <w:t>.</w:t>
            </w:r>
          </w:p>
        </w:tc>
        <w:tc>
          <w:tcPr>
            <w:tcW w:w="940" w:type="pct"/>
          </w:tcPr>
          <w:p w14:paraId="22FA5A41" w14:textId="3176DAD0" w:rsidR="004F56A7" w:rsidRDefault="00E10062" w:rsidP="00D854F1">
            <w:pPr>
              <w:pStyle w:val="Tabletext"/>
              <w:widowControl w:val="0"/>
              <w:rPr>
                <w:rFonts w:cs="Arial"/>
                <w:szCs w:val="22"/>
              </w:rPr>
            </w:pPr>
            <w:r w:rsidRPr="007638A5">
              <w:rPr>
                <w:rFonts w:cs="Arial"/>
                <w:szCs w:val="22"/>
              </w:rPr>
              <w:t xml:space="preserve">DHTs that describe themselves as a treatment for a diagnosed condition. </w:t>
            </w:r>
          </w:p>
          <w:p w14:paraId="6FD0E364" w14:textId="77777777" w:rsidR="00033EBB" w:rsidRDefault="00E10062" w:rsidP="00D854F1">
            <w:pPr>
              <w:pStyle w:val="Tabletext"/>
              <w:widowControl w:val="0"/>
              <w:rPr>
                <w:rFonts w:cs="Arial"/>
                <w:szCs w:val="22"/>
              </w:rPr>
            </w:pPr>
            <w:r w:rsidRPr="007638A5">
              <w:rPr>
                <w:rFonts w:cs="Arial"/>
                <w:szCs w:val="22"/>
              </w:rPr>
              <w:t xml:space="preserve">DTHs that provide information that triggers immediate or near-term action. </w:t>
            </w:r>
          </w:p>
          <w:p w14:paraId="7EAEF244" w14:textId="70185063" w:rsidR="00E10062" w:rsidRPr="007638A5" w:rsidRDefault="00033EBB" w:rsidP="00D854F1">
            <w:pPr>
              <w:pStyle w:val="Tabletext"/>
              <w:widowControl w:val="0"/>
              <w:rPr>
                <w:rFonts w:cs="Arial"/>
                <w:szCs w:val="22"/>
              </w:rPr>
            </w:pPr>
            <w:r>
              <w:rPr>
                <w:rFonts w:cs="Arial"/>
                <w:szCs w:val="22"/>
              </w:rPr>
              <w:t>Triaging systems that only use resourcing data (such as waiting times or bed capacity) to help manage workloads and guide people’s access routes to care.</w:t>
            </w:r>
          </w:p>
        </w:tc>
      </w:tr>
      <w:tr w:rsidR="00E10062" w:rsidRPr="007638A5" w14:paraId="6851F6AA" w14:textId="77777777" w:rsidTr="00B6077F">
        <w:tc>
          <w:tcPr>
            <w:tcW w:w="1015" w:type="pct"/>
          </w:tcPr>
          <w:p w14:paraId="639167B7" w14:textId="77777777" w:rsidR="00E10062" w:rsidRDefault="00E10062" w:rsidP="007638A5">
            <w:pPr>
              <w:pStyle w:val="Tableheading"/>
            </w:pPr>
            <w:r w:rsidRPr="007638A5">
              <w:t>Tier C: treating and diagnosing</w:t>
            </w:r>
          </w:p>
          <w:p w14:paraId="1254A183" w14:textId="4C405B89" w:rsidR="004F56A7" w:rsidRPr="004F56A7" w:rsidRDefault="004F56A7" w:rsidP="007638A5">
            <w:pPr>
              <w:pStyle w:val="Tableheading"/>
              <w:rPr>
                <w:b w:val="0"/>
                <w:bCs/>
              </w:rPr>
            </w:pPr>
          </w:p>
        </w:tc>
        <w:tc>
          <w:tcPr>
            <w:tcW w:w="1015" w:type="pct"/>
          </w:tcPr>
          <w:p w14:paraId="53C4CD32" w14:textId="4989487E" w:rsidR="00E10062" w:rsidRPr="007638A5" w:rsidRDefault="00E10062" w:rsidP="00D854F1">
            <w:pPr>
              <w:pStyle w:val="Tabletext"/>
              <w:widowControl w:val="0"/>
              <w:rPr>
                <w:rFonts w:cs="Arial"/>
                <w:szCs w:val="22"/>
              </w:rPr>
            </w:pPr>
            <w:r w:rsidRPr="007638A5">
              <w:rPr>
                <w:rFonts w:cs="Arial"/>
                <w:szCs w:val="22"/>
              </w:rPr>
              <w:t>Diagnose a condition</w:t>
            </w:r>
            <w:r w:rsidR="008A0049">
              <w:rPr>
                <w:rFonts w:cs="Arial"/>
                <w:szCs w:val="22"/>
              </w:rPr>
              <w:t>.</w:t>
            </w:r>
          </w:p>
        </w:tc>
        <w:tc>
          <w:tcPr>
            <w:tcW w:w="1015" w:type="pct"/>
          </w:tcPr>
          <w:p w14:paraId="4000D041" w14:textId="2332D368" w:rsidR="00E10062" w:rsidRPr="007638A5" w:rsidRDefault="00E10062" w:rsidP="00D854F1">
            <w:pPr>
              <w:pStyle w:val="Tabletext"/>
              <w:widowControl w:val="0"/>
            </w:pPr>
            <w:r w:rsidRPr="007638A5">
              <w:rPr>
                <w:rFonts w:eastAsiaTheme="minorEastAsia"/>
              </w:rPr>
              <w:t>Information provided by the DHT will be used to take an immediate or near-term action to diagnose</w:t>
            </w:r>
            <w:r w:rsidR="004F56A7">
              <w:rPr>
                <w:rFonts w:eastAsiaTheme="minorEastAsia"/>
              </w:rPr>
              <w:t xml:space="preserve">, </w:t>
            </w:r>
            <w:r w:rsidRPr="007638A5">
              <w:rPr>
                <w:rFonts w:eastAsiaTheme="minorEastAsia"/>
              </w:rPr>
              <w:t>screen</w:t>
            </w:r>
            <w:r w:rsidR="004F56A7">
              <w:rPr>
                <w:rFonts w:eastAsiaTheme="minorEastAsia"/>
              </w:rPr>
              <w:t xml:space="preserve"> or </w:t>
            </w:r>
            <w:r w:rsidRPr="007638A5">
              <w:rPr>
                <w:rFonts w:eastAsiaTheme="minorEastAsia"/>
              </w:rPr>
              <w:t xml:space="preserve">detect a disease or condition. </w:t>
            </w:r>
          </w:p>
        </w:tc>
        <w:tc>
          <w:tcPr>
            <w:tcW w:w="1015" w:type="pct"/>
          </w:tcPr>
          <w:p w14:paraId="500792DF" w14:textId="77777777" w:rsidR="00E10062" w:rsidRDefault="00E10062" w:rsidP="00D854F1">
            <w:pPr>
              <w:pStyle w:val="Tabletext"/>
              <w:widowControl w:val="0"/>
              <w:rPr>
                <w:rFonts w:eastAsiaTheme="minorEastAsia"/>
              </w:rPr>
            </w:pPr>
            <w:r w:rsidRPr="007638A5">
              <w:rPr>
                <w:rFonts w:eastAsiaTheme="minorEastAsia"/>
              </w:rPr>
              <w:t xml:space="preserve">DHT that performs diagnostic image analysis for making treatment decisions in </w:t>
            </w:r>
            <w:r w:rsidR="00AC5EA6">
              <w:rPr>
                <w:rFonts w:eastAsiaTheme="minorEastAsia"/>
              </w:rPr>
              <w:t>service user</w:t>
            </w:r>
            <w:r w:rsidRPr="007638A5">
              <w:rPr>
                <w:rFonts w:eastAsiaTheme="minorEastAsia"/>
              </w:rPr>
              <w:t>s with acute stroke</w:t>
            </w:r>
            <w:r w:rsidR="004F56A7">
              <w:rPr>
                <w:rFonts w:eastAsiaTheme="minorEastAsia"/>
              </w:rPr>
              <w:t>.</w:t>
            </w:r>
          </w:p>
          <w:p w14:paraId="7A422653" w14:textId="1A2DB5AD" w:rsidR="00391DDE" w:rsidRPr="007638A5" w:rsidRDefault="00391DDE" w:rsidP="00D854F1">
            <w:pPr>
              <w:pStyle w:val="Tabletext"/>
              <w:widowControl w:val="0"/>
            </w:pPr>
            <w:r w:rsidRPr="00344663">
              <w:rPr>
                <w:rFonts w:eastAsiaTheme="minorEastAsia"/>
                <w:b/>
              </w:rPr>
              <w:t>Examples:</w:t>
            </w:r>
            <w:r>
              <w:rPr>
                <w:rFonts w:eastAsiaTheme="minorEastAsia"/>
              </w:rPr>
              <w:t xml:space="preserve"> </w:t>
            </w:r>
            <w:proofErr w:type="spellStart"/>
            <w:r w:rsidR="006961C8">
              <w:rPr>
                <w:rFonts w:eastAsiaTheme="minorEastAsia"/>
              </w:rPr>
              <w:t>Brainomix</w:t>
            </w:r>
            <w:proofErr w:type="spellEnd"/>
            <w:r w:rsidR="00D73C48">
              <w:rPr>
                <w:rFonts w:eastAsiaTheme="minorEastAsia"/>
              </w:rPr>
              <w:t xml:space="preserve"> (</w:t>
            </w:r>
            <w:proofErr w:type="spellStart"/>
            <w:r w:rsidR="00D73C48">
              <w:rPr>
                <w:rFonts w:eastAsiaTheme="minorEastAsia"/>
              </w:rPr>
              <w:t>Brainomix</w:t>
            </w:r>
            <w:proofErr w:type="spellEnd"/>
            <w:r w:rsidR="00D73C48">
              <w:rPr>
                <w:rFonts w:eastAsiaTheme="minorEastAsia"/>
              </w:rPr>
              <w:t>)</w:t>
            </w:r>
            <w:r w:rsidR="006961C8">
              <w:rPr>
                <w:rFonts w:eastAsiaTheme="minorEastAsia"/>
              </w:rPr>
              <w:t xml:space="preserve">, </w:t>
            </w:r>
            <w:r w:rsidR="00F8571A">
              <w:rPr>
                <w:rFonts w:eastAsiaTheme="minorEastAsia"/>
              </w:rPr>
              <w:t>Behold AI</w:t>
            </w:r>
            <w:r w:rsidR="00F9355A">
              <w:rPr>
                <w:rFonts w:eastAsiaTheme="minorEastAsia"/>
              </w:rPr>
              <w:t xml:space="preserve"> (Behold.AI technologies Ltd</w:t>
            </w:r>
            <w:r w:rsidR="00F9355A" w:rsidRPr="00AF6E34">
              <w:rPr>
                <w:rFonts w:eastAsiaTheme="minorEastAsia"/>
              </w:rPr>
              <w:t>)</w:t>
            </w:r>
            <w:r w:rsidR="003721C0">
              <w:rPr>
                <w:rFonts w:eastAsiaTheme="minorEastAsia"/>
              </w:rPr>
              <w:t>.</w:t>
            </w:r>
          </w:p>
        </w:tc>
        <w:tc>
          <w:tcPr>
            <w:tcW w:w="940" w:type="pct"/>
          </w:tcPr>
          <w:p w14:paraId="56C540C0" w14:textId="77777777" w:rsidR="00E10062" w:rsidRPr="007638A5" w:rsidRDefault="00E10062" w:rsidP="007638A5">
            <w:pPr>
              <w:pStyle w:val="Tabletext"/>
            </w:pPr>
            <w:r w:rsidRPr="007638A5">
              <w:t>DHT offering general (non-personalised) health or wellness advice.</w:t>
            </w:r>
          </w:p>
        </w:tc>
      </w:tr>
      <w:tr w:rsidR="00E10062" w:rsidRPr="007638A5" w14:paraId="73E6BD90" w14:textId="77777777" w:rsidTr="00B6077F">
        <w:tc>
          <w:tcPr>
            <w:tcW w:w="1015" w:type="pct"/>
          </w:tcPr>
          <w:p w14:paraId="61575CC7" w14:textId="77777777" w:rsidR="00E10062" w:rsidRDefault="00E10062" w:rsidP="007638A5">
            <w:pPr>
              <w:pStyle w:val="Tableheading"/>
            </w:pPr>
            <w:r w:rsidRPr="007638A5">
              <w:t>Tier C: treating and diagnosing</w:t>
            </w:r>
          </w:p>
          <w:p w14:paraId="2B70CDB2" w14:textId="6357A3C7" w:rsidR="004F56A7" w:rsidRPr="004F56A7" w:rsidRDefault="004F56A7" w:rsidP="007638A5">
            <w:pPr>
              <w:pStyle w:val="Tableheading"/>
              <w:rPr>
                <w:b w:val="0"/>
                <w:bCs/>
              </w:rPr>
            </w:pPr>
          </w:p>
        </w:tc>
        <w:tc>
          <w:tcPr>
            <w:tcW w:w="1015" w:type="pct"/>
          </w:tcPr>
          <w:p w14:paraId="218FFBC2" w14:textId="532930FD" w:rsidR="00E10062" w:rsidRPr="007638A5" w:rsidRDefault="00E10062" w:rsidP="00D854F1">
            <w:pPr>
              <w:pStyle w:val="Tabletext"/>
              <w:widowControl w:val="0"/>
              <w:rPr>
                <w:rFonts w:cs="Arial"/>
                <w:szCs w:val="22"/>
              </w:rPr>
            </w:pPr>
            <w:r w:rsidRPr="007638A5">
              <w:rPr>
                <w:rFonts w:cs="Arial"/>
                <w:szCs w:val="22"/>
              </w:rPr>
              <w:t>Treat a condition</w:t>
            </w:r>
            <w:r w:rsidR="008A0049">
              <w:rPr>
                <w:rFonts w:cs="Arial"/>
                <w:szCs w:val="22"/>
              </w:rPr>
              <w:t>.</w:t>
            </w:r>
          </w:p>
        </w:tc>
        <w:tc>
          <w:tcPr>
            <w:tcW w:w="1015" w:type="pct"/>
          </w:tcPr>
          <w:p w14:paraId="2BBA1001" w14:textId="429E5A7B" w:rsidR="00E10062" w:rsidRPr="007638A5" w:rsidRDefault="00E10062" w:rsidP="00D854F1">
            <w:pPr>
              <w:pStyle w:val="Tabletext"/>
              <w:widowControl w:val="0"/>
            </w:pPr>
            <w:r w:rsidRPr="007638A5">
              <w:rPr>
                <w:rFonts w:eastAsiaTheme="minorEastAsia"/>
              </w:rPr>
              <w:t>Information provided by the DHT will be used to take an immediate or near-term action to treat</w:t>
            </w:r>
            <w:r w:rsidR="004F56A7">
              <w:rPr>
                <w:rFonts w:eastAsiaTheme="minorEastAsia"/>
              </w:rPr>
              <w:t xml:space="preserve">, </w:t>
            </w:r>
            <w:r w:rsidRPr="007638A5">
              <w:rPr>
                <w:rFonts w:eastAsiaTheme="minorEastAsia"/>
              </w:rPr>
              <w:t>prevent or mitigate by means of providing therapy to a human body.</w:t>
            </w:r>
          </w:p>
        </w:tc>
        <w:tc>
          <w:tcPr>
            <w:tcW w:w="1015" w:type="pct"/>
          </w:tcPr>
          <w:p w14:paraId="4DB93869" w14:textId="77777777" w:rsidR="00E10062" w:rsidRDefault="00E10062" w:rsidP="00D854F1">
            <w:pPr>
              <w:pStyle w:val="Tabletext"/>
              <w:widowControl w:val="0"/>
              <w:rPr>
                <w:rFonts w:eastAsiaTheme="minorEastAsia"/>
              </w:rPr>
            </w:pPr>
            <w:r w:rsidRPr="007638A5">
              <w:rPr>
                <w:rFonts w:eastAsiaTheme="minorEastAsia"/>
              </w:rPr>
              <w:t>DHT that uses the microphone of a smart device to detect interrupted breathing during sleep and sounds a tone to rouse the sleeper.</w:t>
            </w:r>
          </w:p>
          <w:p w14:paraId="1C04B7A1" w14:textId="52E24889" w:rsidR="00391DDE" w:rsidRPr="007638A5" w:rsidRDefault="00391DDE" w:rsidP="00D854F1">
            <w:pPr>
              <w:pStyle w:val="Tabletext"/>
              <w:widowControl w:val="0"/>
            </w:pPr>
            <w:r w:rsidRPr="00344663">
              <w:rPr>
                <w:rFonts w:eastAsiaTheme="minorEastAsia"/>
                <w:b/>
              </w:rPr>
              <w:t>Examples:</w:t>
            </w:r>
            <w:r>
              <w:rPr>
                <w:rFonts w:eastAsiaTheme="minorEastAsia"/>
              </w:rPr>
              <w:t xml:space="preserve"> </w:t>
            </w:r>
            <w:proofErr w:type="spellStart"/>
            <w:r w:rsidR="0031348F">
              <w:rPr>
                <w:rFonts w:eastAsiaTheme="minorEastAsia"/>
              </w:rPr>
              <w:t>MyCOPD</w:t>
            </w:r>
            <w:proofErr w:type="spellEnd"/>
            <w:r w:rsidR="000C405B">
              <w:rPr>
                <w:rFonts w:eastAsiaTheme="minorEastAsia"/>
              </w:rPr>
              <w:t xml:space="preserve"> (</w:t>
            </w:r>
            <w:r w:rsidR="000C405B" w:rsidRPr="000C405B">
              <w:rPr>
                <w:rFonts w:eastAsiaTheme="minorEastAsia"/>
              </w:rPr>
              <w:t xml:space="preserve">My </w:t>
            </w:r>
            <w:proofErr w:type="spellStart"/>
            <w:r w:rsidR="000C405B" w:rsidRPr="000C405B">
              <w:rPr>
                <w:rFonts w:eastAsiaTheme="minorEastAsia"/>
              </w:rPr>
              <w:t>Mhealth</w:t>
            </w:r>
            <w:proofErr w:type="spellEnd"/>
            <w:r w:rsidR="000C405B">
              <w:rPr>
                <w:rFonts w:eastAsiaTheme="minorEastAsia"/>
              </w:rPr>
              <w:t>)</w:t>
            </w:r>
            <w:r w:rsidR="0031348F">
              <w:rPr>
                <w:rFonts w:eastAsiaTheme="minorEastAsia"/>
              </w:rPr>
              <w:t xml:space="preserve">, </w:t>
            </w:r>
            <w:proofErr w:type="spellStart"/>
            <w:r w:rsidR="0031348F">
              <w:rPr>
                <w:rFonts w:eastAsiaTheme="minorEastAsia"/>
              </w:rPr>
              <w:t>Sleepio</w:t>
            </w:r>
            <w:proofErr w:type="spellEnd"/>
            <w:r w:rsidR="00E07896">
              <w:rPr>
                <w:rFonts w:eastAsiaTheme="minorEastAsia"/>
              </w:rPr>
              <w:t xml:space="preserve"> (</w:t>
            </w:r>
            <w:r w:rsidR="00E07896" w:rsidRPr="00E07896">
              <w:rPr>
                <w:rFonts w:eastAsiaTheme="minorEastAsia"/>
              </w:rPr>
              <w:t>Big Health</w:t>
            </w:r>
            <w:r w:rsidR="00E07896">
              <w:rPr>
                <w:rFonts w:eastAsiaTheme="minorEastAsia"/>
              </w:rPr>
              <w:t>)</w:t>
            </w:r>
            <w:r w:rsidR="0031348F">
              <w:rPr>
                <w:rFonts w:eastAsiaTheme="minorEastAsia"/>
              </w:rPr>
              <w:t xml:space="preserve">, </w:t>
            </w:r>
            <w:r w:rsidR="000A6FB4">
              <w:rPr>
                <w:rFonts w:eastAsiaTheme="minorEastAsia"/>
              </w:rPr>
              <w:t>Space from Depression</w:t>
            </w:r>
            <w:r w:rsidR="00F9355A">
              <w:rPr>
                <w:rFonts w:eastAsiaTheme="minorEastAsia"/>
              </w:rPr>
              <w:t xml:space="preserve"> (</w:t>
            </w:r>
            <w:proofErr w:type="spellStart"/>
            <w:r w:rsidR="00F9355A">
              <w:rPr>
                <w:rFonts w:eastAsiaTheme="minorEastAsia"/>
              </w:rPr>
              <w:t>SilverCloud</w:t>
            </w:r>
            <w:proofErr w:type="spellEnd"/>
            <w:r w:rsidR="00F9355A" w:rsidRPr="00AF6E34">
              <w:rPr>
                <w:rFonts w:eastAsiaTheme="minorEastAsia"/>
              </w:rPr>
              <w:t>)</w:t>
            </w:r>
            <w:r w:rsidR="003721C0">
              <w:rPr>
                <w:rFonts w:eastAsiaTheme="minorEastAsia"/>
              </w:rPr>
              <w:t>.</w:t>
            </w:r>
          </w:p>
        </w:tc>
        <w:tc>
          <w:tcPr>
            <w:tcW w:w="940" w:type="pct"/>
          </w:tcPr>
          <w:p w14:paraId="7C0556FA" w14:textId="77777777" w:rsidR="00E10062" w:rsidRPr="007638A5" w:rsidRDefault="00E10062" w:rsidP="00D854F1">
            <w:pPr>
              <w:pStyle w:val="Tabletext"/>
              <w:widowControl w:val="0"/>
              <w:rPr>
                <w:rFonts w:cs="Arial"/>
                <w:szCs w:val="22"/>
              </w:rPr>
            </w:pPr>
            <w:r w:rsidRPr="007638A5">
              <w:rPr>
                <w:rFonts w:cs="Arial"/>
                <w:szCs w:val="22"/>
              </w:rPr>
              <w:t>DHT offering general (non-personalised) health or wellness advice.</w:t>
            </w:r>
          </w:p>
        </w:tc>
      </w:tr>
    </w:tbl>
    <w:p w14:paraId="0B18B492" w14:textId="5001F8A6" w:rsidR="00CA44C2" w:rsidRPr="00CA44C2" w:rsidRDefault="00E10062" w:rsidP="00CA44C2">
      <w:pPr>
        <w:pStyle w:val="Caption"/>
      </w:pPr>
      <w:r w:rsidRPr="007638A5">
        <w:t>Table 2 Potential mapping between the ESF classification groups in tier C and the medical devices classes</w:t>
      </w:r>
    </w:p>
    <w:tbl>
      <w:tblPr>
        <w:tblStyle w:val="TableGrid"/>
        <w:tblW w:w="13745" w:type="dxa"/>
        <w:tblLayout w:type="fixed"/>
        <w:tblLook w:val="04A0" w:firstRow="1" w:lastRow="0" w:firstColumn="1" w:lastColumn="0" w:noHBand="0" w:noVBand="1"/>
        <w:tblCaption w:val="Table 2: Potential mapping between the ESF classification groups in tier C and the medical devices classes"/>
        <w:tblDescription w:val="This table has been adapted from the table in the IMDRF classification section 7.2. The medical device class names included here align with the classes currently used by the MHRA (low impact: Class 1 - highest impact: Class 3).  The medical device class may also be influenced by other factors including the user type  (patient or professional ) and level of professional oversight.  This table will be updated when the MHRA regulatory approach is published."/>
      </w:tblPr>
      <w:tblGrid>
        <w:gridCol w:w="2405"/>
        <w:gridCol w:w="7088"/>
        <w:gridCol w:w="4252"/>
      </w:tblGrid>
      <w:tr w:rsidR="00E10062" w:rsidRPr="007638A5" w14:paraId="4F5564E2" w14:textId="77777777" w:rsidTr="00F230EC">
        <w:trPr>
          <w:trHeight w:val="946"/>
        </w:trPr>
        <w:tc>
          <w:tcPr>
            <w:tcW w:w="2405" w:type="dxa"/>
          </w:tcPr>
          <w:p w14:paraId="140EA53D" w14:textId="73D01DE8" w:rsidR="00E10062" w:rsidRPr="007638A5" w:rsidRDefault="00F230EC" w:rsidP="00E10062">
            <w:pPr>
              <w:pStyle w:val="Tableheading"/>
            </w:pPr>
            <w:r>
              <w:t>E</w:t>
            </w:r>
            <w:r w:rsidRPr="00F230EC">
              <w:t xml:space="preserve">vidence standards framework </w:t>
            </w:r>
            <w:r>
              <w:t>(</w:t>
            </w:r>
            <w:r w:rsidR="00E10062" w:rsidRPr="007638A5">
              <w:t>ESF</w:t>
            </w:r>
            <w:r>
              <w:t>)</w:t>
            </w:r>
            <w:r w:rsidR="00E10062" w:rsidRPr="007638A5">
              <w:t xml:space="preserve"> classification group</w:t>
            </w:r>
            <w:r w:rsidR="00923A57">
              <w:t xml:space="preserve"> in </w:t>
            </w:r>
            <w:r w:rsidR="003721C0">
              <w:t>t</w:t>
            </w:r>
            <w:r w:rsidR="00923A57" w:rsidRPr="00AF6E34">
              <w:t>ier</w:t>
            </w:r>
            <w:r w:rsidR="00923A57">
              <w:t xml:space="preserve"> C</w:t>
            </w:r>
          </w:p>
        </w:tc>
        <w:tc>
          <w:tcPr>
            <w:tcW w:w="7088" w:type="dxa"/>
          </w:tcPr>
          <w:p w14:paraId="10E5C531" w14:textId="77777777" w:rsidR="00E10062" w:rsidRPr="007638A5" w:rsidRDefault="00E10062" w:rsidP="00E10062">
            <w:pPr>
              <w:pStyle w:val="Tableheading"/>
            </w:pPr>
            <w:r w:rsidRPr="007638A5">
              <w:t>Description</w:t>
            </w:r>
          </w:p>
        </w:tc>
        <w:tc>
          <w:tcPr>
            <w:tcW w:w="4252" w:type="dxa"/>
          </w:tcPr>
          <w:p w14:paraId="7F3E0AC3" w14:textId="3482319C" w:rsidR="00E10062" w:rsidRPr="007638A5" w:rsidRDefault="00E10062" w:rsidP="00E10062">
            <w:pPr>
              <w:pStyle w:val="Tableheading"/>
            </w:pPr>
            <w:r w:rsidRPr="007638A5">
              <w:t xml:space="preserve">Healthcare situation or condition with </w:t>
            </w:r>
            <w:r w:rsidR="009C1617">
              <w:t xml:space="preserve">the </w:t>
            </w:r>
            <w:r w:rsidRPr="007638A5">
              <w:t xml:space="preserve">medical device class </w:t>
            </w:r>
            <w:r w:rsidR="00861FAB">
              <w:t>as per IMDRF</w:t>
            </w:r>
            <w:r w:rsidR="00493D71">
              <w:t xml:space="preserve"> categories mapped to the current UK medical device regulations</w:t>
            </w:r>
          </w:p>
        </w:tc>
      </w:tr>
      <w:tr w:rsidR="00E10062" w:rsidRPr="007638A5" w14:paraId="71AF44CD" w14:textId="77777777" w:rsidTr="00F230EC">
        <w:trPr>
          <w:trHeight w:val="313"/>
        </w:trPr>
        <w:tc>
          <w:tcPr>
            <w:tcW w:w="2405" w:type="dxa"/>
            <w:vMerge w:val="restart"/>
          </w:tcPr>
          <w:p w14:paraId="0CD13BBE" w14:textId="77777777" w:rsidR="00E10062" w:rsidRPr="007638A5" w:rsidRDefault="00E10062" w:rsidP="00243CC0">
            <w:pPr>
              <w:pStyle w:val="Tabletext"/>
              <w:rPr>
                <w:rFonts w:cs="Arial"/>
                <w:szCs w:val="22"/>
              </w:rPr>
            </w:pPr>
            <w:r w:rsidRPr="007638A5">
              <w:rPr>
                <w:rFonts w:cs="Arial"/>
                <w:szCs w:val="22"/>
              </w:rPr>
              <w:t>Inform clinical management</w:t>
            </w:r>
          </w:p>
        </w:tc>
        <w:tc>
          <w:tcPr>
            <w:tcW w:w="7088" w:type="dxa"/>
            <w:vMerge w:val="restart"/>
          </w:tcPr>
          <w:p w14:paraId="51ED928B" w14:textId="157D5409" w:rsidR="00E10062" w:rsidRPr="007638A5" w:rsidRDefault="00F230EC" w:rsidP="00243CC0">
            <w:pPr>
              <w:pStyle w:val="Tabletext"/>
              <w:rPr>
                <w:rFonts w:cs="Arial"/>
                <w:szCs w:val="22"/>
              </w:rPr>
            </w:pPr>
            <w:r>
              <w:rPr>
                <w:rFonts w:cs="Arial"/>
                <w:szCs w:val="22"/>
              </w:rPr>
              <w:t>D</w:t>
            </w:r>
            <w:r w:rsidRPr="00F230EC">
              <w:rPr>
                <w:rFonts w:cs="Arial"/>
                <w:szCs w:val="22"/>
              </w:rPr>
              <w:t xml:space="preserve">igital health technologies </w:t>
            </w:r>
            <w:r>
              <w:rPr>
                <w:rFonts w:cs="Arial"/>
                <w:szCs w:val="22"/>
              </w:rPr>
              <w:t>(</w:t>
            </w:r>
            <w:r w:rsidR="00E10062" w:rsidRPr="007638A5">
              <w:rPr>
                <w:rFonts w:cs="Arial"/>
                <w:szCs w:val="22"/>
              </w:rPr>
              <w:t>DHTs</w:t>
            </w:r>
            <w:r>
              <w:rPr>
                <w:rFonts w:cs="Arial"/>
                <w:szCs w:val="22"/>
              </w:rPr>
              <w:t>)</w:t>
            </w:r>
            <w:r w:rsidR="00E10062" w:rsidRPr="007638A5">
              <w:rPr>
                <w:rFonts w:cs="Arial"/>
                <w:szCs w:val="22"/>
              </w:rPr>
              <w:t xml:space="preserve"> that record</w:t>
            </w:r>
            <w:r w:rsidR="00344663">
              <w:rPr>
                <w:rFonts w:cs="Arial"/>
                <w:szCs w:val="22"/>
              </w:rPr>
              <w:t>, calculate</w:t>
            </w:r>
            <w:r w:rsidR="00E10062" w:rsidRPr="007638A5">
              <w:rPr>
                <w:rFonts w:cs="Arial"/>
                <w:szCs w:val="22"/>
              </w:rPr>
              <w:t xml:space="preserve"> and transmit data to a professional, carer or third-party organisation to inform clinical management in the future.</w:t>
            </w:r>
          </w:p>
        </w:tc>
        <w:tc>
          <w:tcPr>
            <w:tcW w:w="4252" w:type="dxa"/>
            <w:vMerge w:val="restart"/>
          </w:tcPr>
          <w:p w14:paraId="76C076CE" w14:textId="47543126" w:rsidR="00E10062" w:rsidRPr="007638A5" w:rsidRDefault="00E10062" w:rsidP="00E10062">
            <w:pPr>
              <w:pStyle w:val="Tablebullet"/>
            </w:pPr>
            <w:r w:rsidRPr="007638A5">
              <w:t>Non-serious: Class 1</w:t>
            </w:r>
          </w:p>
          <w:p w14:paraId="3D34AAF3" w14:textId="5CF3999A" w:rsidR="00E10062" w:rsidRPr="007638A5" w:rsidRDefault="00E10062" w:rsidP="00E10062">
            <w:pPr>
              <w:pStyle w:val="Tablebullet"/>
            </w:pPr>
            <w:r w:rsidRPr="007638A5">
              <w:t>Serious: Class 1</w:t>
            </w:r>
          </w:p>
          <w:p w14:paraId="65B72BFD" w14:textId="210C9D2D" w:rsidR="00E10062" w:rsidRPr="007638A5" w:rsidRDefault="00E10062" w:rsidP="00E10062">
            <w:pPr>
              <w:pStyle w:val="Tablebullet"/>
            </w:pPr>
            <w:r w:rsidRPr="007638A5">
              <w:t>Critical: Class 2a</w:t>
            </w:r>
          </w:p>
        </w:tc>
      </w:tr>
      <w:tr w:rsidR="00E10062" w:rsidRPr="007638A5" w14:paraId="4BA1150D" w14:textId="77777777" w:rsidTr="00F230EC">
        <w:trPr>
          <w:trHeight w:val="435"/>
        </w:trPr>
        <w:tc>
          <w:tcPr>
            <w:tcW w:w="2405" w:type="dxa"/>
            <w:vMerge/>
          </w:tcPr>
          <w:p w14:paraId="6BEF6E8C" w14:textId="77777777" w:rsidR="00E10062" w:rsidRPr="007638A5" w:rsidRDefault="00E10062" w:rsidP="00243CC0">
            <w:pPr>
              <w:pStyle w:val="Tabletext"/>
              <w:rPr>
                <w:rFonts w:cs="Arial"/>
                <w:szCs w:val="22"/>
              </w:rPr>
            </w:pPr>
          </w:p>
        </w:tc>
        <w:tc>
          <w:tcPr>
            <w:tcW w:w="7088" w:type="dxa"/>
            <w:vMerge/>
          </w:tcPr>
          <w:p w14:paraId="5B70D749" w14:textId="77777777" w:rsidR="00E10062" w:rsidRPr="007638A5" w:rsidRDefault="00E10062" w:rsidP="00243CC0">
            <w:pPr>
              <w:pStyle w:val="Tabletext"/>
              <w:rPr>
                <w:rFonts w:cs="Arial"/>
                <w:szCs w:val="22"/>
              </w:rPr>
            </w:pPr>
          </w:p>
        </w:tc>
        <w:tc>
          <w:tcPr>
            <w:tcW w:w="4252" w:type="dxa"/>
            <w:vMerge/>
          </w:tcPr>
          <w:p w14:paraId="32BA4A4F" w14:textId="77777777" w:rsidR="00E10062" w:rsidRPr="007638A5" w:rsidRDefault="00E10062" w:rsidP="00243CC0">
            <w:pPr>
              <w:pStyle w:val="Tabletext"/>
              <w:rPr>
                <w:rFonts w:cs="Arial"/>
                <w:szCs w:val="22"/>
              </w:rPr>
            </w:pPr>
          </w:p>
        </w:tc>
      </w:tr>
      <w:tr w:rsidR="00E10062" w:rsidRPr="007638A5" w14:paraId="0EE39954" w14:textId="77777777" w:rsidTr="00F230EC">
        <w:trPr>
          <w:trHeight w:val="313"/>
        </w:trPr>
        <w:tc>
          <w:tcPr>
            <w:tcW w:w="2405" w:type="dxa"/>
            <w:vMerge/>
          </w:tcPr>
          <w:p w14:paraId="7DB1761A" w14:textId="77777777" w:rsidR="00E10062" w:rsidRPr="007638A5" w:rsidRDefault="00E10062" w:rsidP="00243CC0">
            <w:pPr>
              <w:pStyle w:val="Tabletext"/>
              <w:rPr>
                <w:rFonts w:cs="Arial"/>
                <w:szCs w:val="22"/>
              </w:rPr>
            </w:pPr>
          </w:p>
        </w:tc>
        <w:tc>
          <w:tcPr>
            <w:tcW w:w="7088" w:type="dxa"/>
            <w:vMerge/>
          </w:tcPr>
          <w:p w14:paraId="1C0CB03E" w14:textId="77777777" w:rsidR="00E10062" w:rsidRPr="007638A5" w:rsidRDefault="00E10062" w:rsidP="00243CC0">
            <w:pPr>
              <w:pStyle w:val="Tabletext"/>
              <w:rPr>
                <w:rFonts w:cs="Arial"/>
                <w:szCs w:val="22"/>
              </w:rPr>
            </w:pPr>
          </w:p>
        </w:tc>
        <w:tc>
          <w:tcPr>
            <w:tcW w:w="4252" w:type="dxa"/>
            <w:vMerge/>
          </w:tcPr>
          <w:p w14:paraId="30956481" w14:textId="77777777" w:rsidR="00E10062" w:rsidRPr="007638A5" w:rsidRDefault="00E10062" w:rsidP="00243CC0">
            <w:pPr>
              <w:pStyle w:val="Tabletext"/>
              <w:rPr>
                <w:rFonts w:cs="Arial"/>
                <w:szCs w:val="22"/>
              </w:rPr>
            </w:pPr>
          </w:p>
        </w:tc>
      </w:tr>
      <w:tr w:rsidR="00E10062" w:rsidRPr="007638A5" w14:paraId="5680398E" w14:textId="77777777" w:rsidTr="00F230EC">
        <w:trPr>
          <w:trHeight w:val="313"/>
        </w:trPr>
        <w:tc>
          <w:tcPr>
            <w:tcW w:w="2405" w:type="dxa"/>
            <w:vMerge w:val="restart"/>
          </w:tcPr>
          <w:p w14:paraId="4C7DEEBA" w14:textId="77777777" w:rsidR="00E10062" w:rsidRPr="007638A5" w:rsidRDefault="00E10062" w:rsidP="00E10062">
            <w:pPr>
              <w:pStyle w:val="Tabletext"/>
              <w:rPr>
                <w:rFonts w:cs="Arial"/>
                <w:szCs w:val="22"/>
              </w:rPr>
            </w:pPr>
            <w:r w:rsidRPr="007638A5">
              <w:rPr>
                <w:rFonts w:cs="Arial"/>
                <w:szCs w:val="22"/>
              </w:rPr>
              <w:t>Drive clinical management</w:t>
            </w:r>
          </w:p>
        </w:tc>
        <w:tc>
          <w:tcPr>
            <w:tcW w:w="7088" w:type="dxa"/>
            <w:vMerge w:val="restart"/>
          </w:tcPr>
          <w:p w14:paraId="163C2CCA" w14:textId="14221A9D" w:rsidR="00E10062" w:rsidRPr="007638A5" w:rsidRDefault="00E10062" w:rsidP="00BE7E2E">
            <w:pPr>
              <w:pStyle w:val="Tabletext"/>
            </w:pPr>
            <w:r w:rsidRPr="007638A5">
              <w:rPr>
                <w:rFonts w:eastAsiaTheme="minorEastAsia"/>
              </w:rPr>
              <w:t>Information provided by the DHT will be used to aid in treatment, aid in diagnoses, to triage or identify early signs of a disease or condition will be used to guide next diagnostics or next treatment interventions</w:t>
            </w:r>
            <w:r w:rsidR="00F230EC">
              <w:rPr>
                <w:rFonts w:eastAsiaTheme="minorEastAsia"/>
              </w:rPr>
              <w:t>.</w:t>
            </w:r>
          </w:p>
        </w:tc>
        <w:tc>
          <w:tcPr>
            <w:tcW w:w="4252" w:type="dxa"/>
            <w:vMerge w:val="restart"/>
          </w:tcPr>
          <w:p w14:paraId="27CDA215" w14:textId="4A236068" w:rsidR="00E10062" w:rsidRPr="007638A5" w:rsidRDefault="00E10062" w:rsidP="00E10062">
            <w:pPr>
              <w:pStyle w:val="Tablebullet"/>
            </w:pPr>
            <w:r w:rsidRPr="007638A5">
              <w:t>Non-serious: Class 1</w:t>
            </w:r>
          </w:p>
          <w:p w14:paraId="16CFD666" w14:textId="7B58D4B6" w:rsidR="00E10062" w:rsidRPr="007638A5" w:rsidRDefault="00E10062" w:rsidP="00E10062">
            <w:pPr>
              <w:pStyle w:val="Tablebullet"/>
            </w:pPr>
            <w:r w:rsidRPr="007638A5">
              <w:t>Serious: Class 2a</w:t>
            </w:r>
          </w:p>
          <w:p w14:paraId="4667C09C" w14:textId="6EC7C9B1" w:rsidR="00E10062" w:rsidRPr="007638A5" w:rsidRDefault="00E10062" w:rsidP="00E10062">
            <w:pPr>
              <w:pStyle w:val="Tablebullet"/>
              <w:rPr>
                <w:rFonts w:cs="Arial"/>
                <w:szCs w:val="22"/>
              </w:rPr>
            </w:pPr>
            <w:r w:rsidRPr="007638A5">
              <w:t>Critical: Class 2b</w:t>
            </w:r>
          </w:p>
        </w:tc>
      </w:tr>
      <w:tr w:rsidR="00E10062" w:rsidRPr="007638A5" w14:paraId="0FB2C28A" w14:textId="77777777" w:rsidTr="00F230EC">
        <w:trPr>
          <w:trHeight w:val="604"/>
        </w:trPr>
        <w:tc>
          <w:tcPr>
            <w:tcW w:w="2405" w:type="dxa"/>
            <w:vMerge/>
          </w:tcPr>
          <w:p w14:paraId="102CD082" w14:textId="77777777" w:rsidR="00E10062" w:rsidRPr="007638A5" w:rsidRDefault="00E10062" w:rsidP="00E10062">
            <w:pPr>
              <w:pStyle w:val="Tabletext"/>
              <w:rPr>
                <w:rFonts w:cs="Arial"/>
                <w:szCs w:val="22"/>
              </w:rPr>
            </w:pPr>
          </w:p>
        </w:tc>
        <w:tc>
          <w:tcPr>
            <w:tcW w:w="7088" w:type="dxa"/>
            <w:vMerge/>
          </w:tcPr>
          <w:p w14:paraId="2247CF7D" w14:textId="77777777" w:rsidR="00E10062" w:rsidRPr="007638A5" w:rsidRDefault="00E10062" w:rsidP="00BE7E2E">
            <w:pPr>
              <w:pStyle w:val="Tabletext"/>
              <w:rPr>
                <w:rFonts w:eastAsiaTheme="minorEastAsia"/>
              </w:rPr>
            </w:pPr>
          </w:p>
        </w:tc>
        <w:tc>
          <w:tcPr>
            <w:tcW w:w="4252" w:type="dxa"/>
            <w:vMerge/>
          </w:tcPr>
          <w:p w14:paraId="775D8DCB" w14:textId="77777777" w:rsidR="00E10062" w:rsidRPr="007638A5" w:rsidRDefault="00E10062" w:rsidP="00E10062">
            <w:pPr>
              <w:pStyle w:val="Tabletext"/>
              <w:rPr>
                <w:rFonts w:cs="Arial"/>
                <w:szCs w:val="22"/>
              </w:rPr>
            </w:pPr>
          </w:p>
        </w:tc>
      </w:tr>
      <w:tr w:rsidR="00E10062" w:rsidRPr="007638A5" w14:paraId="6472D497" w14:textId="77777777" w:rsidTr="00F230EC">
        <w:trPr>
          <w:trHeight w:val="313"/>
        </w:trPr>
        <w:tc>
          <w:tcPr>
            <w:tcW w:w="2405" w:type="dxa"/>
            <w:vMerge/>
          </w:tcPr>
          <w:p w14:paraId="57DDDE4F" w14:textId="77777777" w:rsidR="00E10062" w:rsidRPr="007638A5" w:rsidRDefault="00E10062" w:rsidP="00E10062">
            <w:pPr>
              <w:pStyle w:val="Tabletext"/>
              <w:rPr>
                <w:rFonts w:cs="Arial"/>
                <w:szCs w:val="22"/>
              </w:rPr>
            </w:pPr>
          </w:p>
        </w:tc>
        <w:tc>
          <w:tcPr>
            <w:tcW w:w="7088" w:type="dxa"/>
            <w:vMerge/>
          </w:tcPr>
          <w:p w14:paraId="75A653B0" w14:textId="77777777" w:rsidR="00E10062" w:rsidRPr="007638A5" w:rsidRDefault="00E10062" w:rsidP="00BE7E2E">
            <w:pPr>
              <w:pStyle w:val="Tabletext"/>
              <w:rPr>
                <w:rFonts w:eastAsiaTheme="minorEastAsia"/>
              </w:rPr>
            </w:pPr>
          </w:p>
        </w:tc>
        <w:tc>
          <w:tcPr>
            <w:tcW w:w="4252" w:type="dxa"/>
            <w:vMerge/>
          </w:tcPr>
          <w:p w14:paraId="68D8CAD9" w14:textId="77777777" w:rsidR="00E10062" w:rsidRPr="007638A5" w:rsidRDefault="00E10062" w:rsidP="00E10062">
            <w:pPr>
              <w:pStyle w:val="Tabletext"/>
              <w:rPr>
                <w:rFonts w:cs="Arial"/>
                <w:szCs w:val="22"/>
              </w:rPr>
            </w:pPr>
          </w:p>
        </w:tc>
      </w:tr>
      <w:tr w:rsidR="00E10062" w:rsidRPr="007638A5" w14:paraId="72DB850B" w14:textId="77777777" w:rsidTr="00F230EC">
        <w:trPr>
          <w:trHeight w:val="313"/>
        </w:trPr>
        <w:tc>
          <w:tcPr>
            <w:tcW w:w="2405" w:type="dxa"/>
            <w:vMerge w:val="restart"/>
          </w:tcPr>
          <w:p w14:paraId="24528358" w14:textId="77777777" w:rsidR="00E10062" w:rsidRPr="007638A5" w:rsidRDefault="00E10062" w:rsidP="00E10062">
            <w:pPr>
              <w:pStyle w:val="Tabletext"/>
              <w:rPr>
                <w:rFonts w:cs="Arial"/>
                <w:szCs w:val="22"/>
              </w:rPr>
            </w:pPr>
            <w:r w:rsidRPr="007638A5">
              <w:rPr>
                <w:rFonts w:cs="Arial"/>
                <w:szCs w:val="22"/>
              </w:rPr>
              <w:t>Diagnose a condition</w:t>
            </w:r>
          </w:p>
        </w:tc>
        <w:tc>
          <w:tcPr>
            <w:tcW w:w="7088" w:type="dxa"/>
            <w:vMerge w:val="restart"/>
          </w:tcPr>
          <w:p w14:paraId="0C857C52" w14:textId="3BC8B7DF" w:rsidR="00E10062" w:rsidRPr="007638A5" w:rsidRDefault="00E10062" w:rsidP="00BE7E2E">
            <w:pPr>
              <w:pStyle w:val="Tabletext"/>
            </w:pPr>
            <w:r w:rsidRPr="007638A5">
              <w:rPr>
                <w:rFonts w:eastAsiaTheme="minorEastAsia"/>
              </w:rPr>
              <w:t>Information provided by the DHT will be used to take an immediate or near-term action to diagnose</w:t>
            </w:r>
            <w:r w:rsidR="00F230EC">
              <w:rPr>
                <w:rFonts w:eastAsiaTheme="minorEastAsia"/>
              </w:rPr>
              <w:t xml:space="preserve">, </w:t>
            </w:r>
            <w:r w:rsidRPr="007638A5">
              <w:rPr>
                <w:rFonts w:eastAsiaTheme="minorEastAsia"/>
              </w:rPr>
              <w:t>screen</w:t>
            </w:r>
            <w:r w:rsidR="00F230EC">
              <w:rPr>
                <w:rFonts w:eastAsiaTheme="minorEastAsia"/>
              </w:rPr>
              <w:t xml:space="preserve"> or </w:t>
            </w:r>
            <w:r w:rsidRPr="007638A5">
              <w:rPr>
                <w:rFonts w:eastAsiaTheme="minorEastAsia"/>
              </w:rPr>
              <w:t xml:space="preserve">detect a disease or condition. </w:t>
            </w:r>
          </w:p>
        </w:tc>
        <w:tc>
          <w:tcPr>
            <w:tcW w:w="4252" w:type="dxa"/>
            <w:vMerge w:val="restart"/>
          </w:tcPr>
          <w:p w14:paraId="5FD36736" w14:textId="15351B3B" w:rsidR="00E10062" w:rsidRPr="007638A5" w:rsidRDefault="00E10062" w:rsidP="00E10062">
            <w:pPr>
              <w:pStyle w:val="Tablebullet"/>
            </w:pPr>
            <w:r w:rsidRPr="007638A5">
              <w:t>Non-serious: Class 2a</w:t>
            </w:r>
          </w:p>
          <w:p w14:paraId="4C2B7ACD" w14:textId="3E888522" w:rsidR="00E10062" w:rsidRPr="007638A5" w:rsidRDefault="00E10062" w:rsidP="00E10062">
            <w:pPr>
              <w:pStyle w:val="Tablebullet"/>
            </w:pPr>
            <w:r w:rsidRPr="007638A5">
              <w:t>Serious: Class 2b</w:t>
            </w:r>
          </w:p>
          <w:p w14:paraId="50F33E59" w14:textId="45E2B843" w:rsidR="00E10062" w:rsidRPr="007638A5" w:rsidRDefault="00E10062" w:rsidP="00E10062">
            <w:pPr>
              <w:pStyle w:val="Tablebullet"/>
              <w:rPr>
                <w:rFonts w:cs="Arial"/>
                <w:szCs w:val="22"/>
              </w:rPr>
            </w:pPr>
            <w:r w:rsidRPr="007638A5">
              <w:t>Critical: Class 3</w:t>
            </w:r>
          </w:p>
        </w:tc>
      </w:tr>
      <w:tr w:rsidR="00E10062" w:rsidRPr="007638A5" w14:paraId="45668D49" w14:textId="77777777" w:rsidTr="00F230EC">
        <w:trPr>
          <w:trHeight w:val="435"/>
        </w:trPr>
        <w:tc>
          <w:tcPr>
            <w:tcW w:w="2405" w:type="dxa"/>
            <w:vMerge/>
          </w:tcPr>
          <w:p w14:paraId="6A8BEBBB" w14:textId="77777777" w:rsidR="00E10062" w:rsidRPr="007638A5" w:rsidRDefault="00E10062" w:rsidP="00E10062">
            <w:pPr>
              <w:pStyle w:val="Tabletext"/>
              <w:rPr>
                <w:rFonts w:cs="Arial"/>
                <w:szCs w:val="22"/>
              </w:rPr>
            </w:pPr>
          </w:p>
        </w:tc>
        <w:tc>
          <w:tcPr>
            <w:tcW w:w="7088" w:type="dxa"/>
            <w:vMerge/>
          </w:tcPr>
          <w:p w14:paraId="14DF6524" w14:textId="77777777" w:rsidR="00E10062" w:rsidRPr="007638A5" w:rsidRDefault="00E10062" w:rsidP="00BE7E2E">
            <w:pPr>
              <w:pStyle w:val="Tabletext"/>
              <w:rPr>
                <w:rFonts w:eastAsiaTheme="minorEastAsia"/>
              </w:rPr>
            </w:pPr>
          </w:p>
        </w:tc>
        <w:tc>
          <w:tcPr>
            <w:tcW w:w="4252" w:type="dxa"/>
            <w:vMerge/>
          </w:tcPr>
          <w:p w14:paraId="3C4D6999" w14:textId="77777777" w:rsidR="00E10062" w:rsidRPr="007638A5" w:rsidRDefault="00E10062" w:rsidP="00E10062">
            <w:pPr>
              <w:pStyle w:val="Tabletext"/>
              <w:rPr>
                <w:rFonts w:cs="Arial"/>
                <w:szCs w:val="22"/>
              </w:rPr>
            </w:pPr>
          </w:p>
        </w:tc>
      </w:tr>
      <w:tr w:rsidR="00E10062" w:rsidRPr="007638A5" w14:paraId="7209E76F" w14:textId="77777777" w:rsidTr="00F230EC">
        <w:trPr>
          <w:trHeight w:val="313"/>
        </w:trPr>
        <w:tc>
          <w:tcPr>
            <w:tcW w:w="2405" w:type="dxa"/>
            <w:vMerge/>
          </w:tcPr>
          <w:p w14:paraId="0A46F547" w14:textId="77777777" w:rsidR="00E10062" w:rsidRPr="007638A5" w:rsidRDefault="00E10062" w:rsidP="00E10062">
            <w:pPr>
              <w:pStyle w:val="Tabletext"/>
              <w:rPr>
                <w:rFonts w:cs="Arial"/>
                <w:szCs w:val="22"/>
              </w:rPr>
            </w:pPr>
          </w:p>
        </w:tc>
        <w:tc>
          <w:tcPr>
            <w:tcW w:w="7088" w:type="dxa"/>
            <w:vMerge/>
          </w:tcPr>
          <w:p w14:paraId="5F3C4A68" w14:textId="77777777" w:rsidR="00E10062" w:rsidRPr="007638A5" w:rsidRDefault="00E10062" w:rsidP="00BE7E2E">
            <w:pPr>
              <w:pStyle w:val="Tabletext"/>
              <w:rPr>
                <w:rFonts w:eastAsiaTheme="minorEastAsia"/>
              </w:rPr>
            </w:pPr>
          </w:p>
        </w:tc>
        <w:tc>
          <w:tcPr>
            <w:tcW w:w="4252" w:type="dxa"/>
            <w:vMerge/>
          </w:tcPr>
          <w:p w14:paraId="1AA5776C" w14:textId="77777777" w:rsidR="00E10062" w:rsidRPr="007638A5" w:rsidRDefault="00E10062" w:rsidP="00E10062">
            <w:pPr>
              <w:pStyle w:val="Tabletext"/>
              <w:rPr>
                <w:rFonts w:cs="Arial"/>
                <w:szCs w:val="22"/>
              </w:rPr>
            </w:pPr>
          </w:p>
        </w:tc>
      </w:tr>
      <w:tr w:rsidR="00E10062" w:rsidRPr="007638A5" w14:paraId="35A54BD0" w14:textId="77777777" w:rsidTr="00CA44C2">
        <w:trPr>
          <w:trHeight w:val="313"/>
        </w:trPr>
        <w:tc>
          <w:tcPr>
            <w:tcW w:w="2405" w:type="dxa"/>
            <w:vMerge w:val="restart"/>
          </w:tcPr>
          <w:p w14:paraId="01007EC5" w14:textId="77777777" w:rsidR="00E10062" w:rsidRPr="007638A5" w:rsidRDefault="00E10062" w:rsidP="00E10062">
            <w:pPr>
              <w:pStyle w:val="Tabletext"/>
              <w:rPr>
                <w:rFonts w:cs="Arial"/>
                <w:szCs w:val="22"/>
              </w:rPr>
            </w:pPr>
            <w:r w:rsidRPr="007638A5">
              <w:rPr>
                <w:rFonts w:cs="Arial"/>
                <w:szCs w:val="22"/>
              </w:rPr>
              <w:t>Treat a condition</w:t>
            </w:r>
          </w:p>
        </w:tc>
        <w:tc>
          <w:tcPr>
            <w:tcW w:w="7088" w:type="dxa"/>
            <w:vMerge w:val="restart"/>
          </w:tcPr>
          <w:p w14:paraId="0B0BFF58" w14:textId="02289B79" w:rsidR="00E10062" w:rsidRPr="007638A5" w:rsidRDefault="00E10062" w:rsidP="00BE7E2E">
            <w:pPr>
              <w:pStyle w:val="Tabletext"/>
            </w:pPr>
            <w:r w:rsidRPr="007638A5">
              <w:rPr>
                <w:rFonts w:eastAsiaTheme="minorEastAsia"/>
              </w:rPr>
              <w:t>Information provided by the DHT will be used to take an immediate or near-term action to treat</w:t>
            </w:r>
            <w:r w:rsidR="00F230EC">
              <w:rPr>
                <w:rFonts w:eastAsiaTheme="minorEastAsia"/>
              </w:rPr>
              <w:t xml:space="preserve">, </w:t>
            </w:r>
            <w:r w:rsidRPr="007638A5">
              <w:rPr>
                <w:rFonts w:eastAsiaTheme="minorEastAsia"/>
              </w:rPr>
              <w:t>prevent or mitigate by means of providing therapy to a human body.</w:t>
            </w:r>
          </w:p>
        </w:tc>
        <w:tc>
          <w:tcPr>
            <w:tcW w:w="4252" w:type="dxa"/>
            <w:vMerge w:val="restart"/>
          </w:tcPr>
          <w:p w14:paraId="0523401F" w14:textId="4C5E4499" w:rsidR="00E10062" w:rsidRPr="007638A5" w:rsidRDefault="00E10062" w:rsidP="00E10062">
            <w:pPr>
              <w:pStyle w:val="Tablebullet"/>
            </w:pPr>
            <w:r w:rsidRPr="007638A5">
              <w:t>Non-serious: Class 2a</w:t>
            </w:r>
          </w:p>
          <w:p w14:paraId="345FA1F4" w14:textId="229D438A" w:rsidR="00E10062" w:rsidRPr="007638A5" w:rsidRDefault="00E10062" w:rsidP="00E10062">
            <w:pPr>
              <w:pStyle w:val="Tablebullet"/>
            </w:pPr>
            <w:r w:rsidRPr="007638A5">
              <w:t>Serious: Class 2b</w:t>
            </w:r>
          </w:p>
          <w:p w14:paraId="1C060BA5" w14:textId="01A5E2B1" w:rsidR="00E10062" w:rsidRPr="007638A5" w:rsidRDefault="00E10062" w:rsidP="00E10062">
            <w:pPr>
              <w:pStyle w:val="Tablebullet"/>
              <w:rPr>
                <w:rFonts w:cs="Arial"/>
                <w:szCs w:val="22"/>
              </w:rPr>
            </w:pPr>
            <w:r w:rsidRPr="007638A5">
              <w:t>Critical: Class 3</w:t>
            </w:r>
          </w:p>
        </w:tc>
      </w:tr>
      <w:tr w:rsidR="00E10062" w:rsidRPr="007638A5" w14:paraId="523262B2" w14:textId="77777777" w:rsidTr="00F230EC">
        <w:trPr>
          <w:trHeight w:val="519"/>
        </w:trPr>
        <w:tc>
          <w:tcPr>
            <w:tcW w:w="2405" w:type="dxa"/>
            <w:vMerge/>
          </w:tcPr>
          <w:p w14:paraId="215A3F4F" w14:textId="77777777" w:rsidR="00E10062" w:rsidRPr="007638A5" w:rsidRDefault="00E10062" w:rsidP="00E10062">
            <w:pPr>
              <w:pStyle w:val="Tabletext"/>
              <w:rPr>
                <w:rFonts w:cs="Arial"/>
                <w:szCs w:val="22"/>
              </w:rPr>
            </w:pPr>
          </w:p>
        </w:tc>
        <w:tc>
          <w:tcPr>
            <w:tcW w:w="7088" w:type="dxa"/>
            <w:vMerge/>
          </w:tcPr>
          <w:p w14:paraId="1E3B7DE3" w14:textId="77777777" w:rsidR="00E10062" w:rsidRPr="007638A5" w:rsidRDefault="00E10062" w:rsidP="00E10062">
            <w:pPr>
              <w:pStyle w:val="Tabletext"/>
              <w:rPr>
                <w:rFonts w:eastAsiaTheme="minorEastAsia" w:cs="Arial"/>
                <w:color w:val="000000" w:themeColor="dark1"/>
                <w:kern w:val="24"/>
                <w:szCs w:val="22"/>
              </w:rPr>
            </w:pPr>
          </w:p>
        </w:tc>
        <w:tc>
          <w:tcPr>
            <w:tcW w:w="4252" w:type="dxa"/>
            <w:vMerge/>
          </w:tcPr>
          <w:p w14:paraId="368C7F52" w14:textId="77777777" w:rsidR="00E10062" w:rsidRPr="007638A5" w:rsidRDefault="00E10062" w:rsidP="00E10062">
            <w:pPr>
              <w:pStyle w:val="Tabletext"/>
              <w:rPr>
                <w:rFonts w:cs="Arial"/>
                <w:szCs w:val="22"/>
              </w:rPr>
            </w:pPr>
          </w:p>
        </w:tc>
      </w:tr>
      <w:tr w:rsidR="00E10062" w:rsidRPr="007638A5" w14:paraId="245FFC89" w14:textId="77777777" w:rsidTr="00F230EC">
        <w:trPr>
          <w:trHeight w:val="520"/>
        </w:trPr>
        <w:tc>
          <w:tcPr>
            <w:tcW w:w="2405" w:type="dxa"/>
            <w:vMerge/>
          </w:tcPr>
          <w:p w14:paraId="720126B8" w14:textId="77777777" w:rsidR="00E10062" w:rsidRPr="007638A5" w:rsidRDefault="00E10062" w:rsidP="00E10062">
            <w:pPr>
              <w:pStyle w:val="Tabletext"/>
              <w:rPr>
                <w:rFonts w:cs="Arial"/>
                <w:szCs w:val="22"/>
              </w:rPr>
            </w:pPr>
          </w:p>
        </w:tc>
        <w:tc>
          <w:tcPr>
            <w:tcW w:w="7088" w:type="dxa"/>
            <w:vMerge/>
          </w:tcPr>
          <w:p w14:paraId="31375BCD" w14:textId="77777777" w:rsidR="00E10062" w:rsidRPr="007638A5" w:rsidRDefault="00E10062" w:rsidP="00E10062">
            <w:pPr>
              <w:pStyle w:val="Tabletext"/>
              <w:rPr>
                <w:rFonts w:eastAsiaTheme="minorEastAsia" w:cs="Arial"/>
                <w:color w:val="000000" w:themeColor="dark1"/>
                <w:kern w:val="24"/>
                <w:szCs w:val="22"/>
              </w:rPr>
            </w:pPr>
          </w:p>
        </w:tc>
        <w:tc>
          <w:tcPr>
            <w:tcW w:w="4252" w:type="dxa"/>
            <w:vMerge/>
          </w:tcPr>
          <w:p w14:paraId="7E3AB845" w14:textId="77777777" w:rsidR="00E10062" w:rsidRPr="007638A5" w:rsidRDefault="00E10062" w:rsidP="00E10062">
            <w:pPr>
              <w:pStyle w:val="Tabletext"/>
              <w:rPr>
                <w:rFonts w:cs="Arial"/>
                <w:szCs w:val="22"/>
              </w:rPr>
            </w:pPr>
          </w:p>
        </w:tc>
      </w:tr>
    </w:tbl>
    <w:p w14:paraId="65ADC1DA" w14:textId="6BDA2615" w:rsidR="00DF6D25" w:rsidRPr="007638A5" w:rsidRDefault="00192E3E" w:rsidP="00C81F2A">
      <w:pPr>
        <w:pStyle w:val="NICEnormal"/>
      </w:pPr>
      <w:r w:rsidRPr="007638A5">
        <w:t>This table has been adapted from</w:t>
      </w:r>
      <w:r w:rsidR="002E0817">
        <w:t xml:space="preserve"> the</w:t>
      </w:r>
      <w:r w:rsidRPr="007638A5">
        <w:t xml:space="preserve"> </w:t>
      </w:r>
      <w:hyperlink r:id="rId18" w:history="1">
        <w:r w:rsidRPr="007638A5">
          <w:rPr>
            <w:rStyle w:val="Hyperlink"/>
            <w:rFonts w:cs="Arial"/>
          </w:rPr>
          <w:t xml:space="preserve">table in </w:t>
        </w:r>
        <w:r w:rsidR="00144766">
          <w:rPr>
            <w:rStyle w:val="Hyperlink"/>
            <w:rFonts w:cs="Arial"/>
          </w:rPr>
          <w:t xml:space="preserve">section 7.2 of </w:t>
        </w:r>
        <w:r w:rsidRPr="007638A5">
          <w:rPr>
            <w:rStyle w:val="Hyperlink"/>
            <w:rFonts w:cs="Arial"/>
          </w:rPr>
          <w:t xml:space="preserve">the IMDRF classification </w:t>
        </w:r>
        <w:r w:rsidR="00144766">
          <w:rPr>
            <w:rStyle w:val="Hyperlink"/>
            <w:rFonts w:cs="Arial"/>
          </w:rPr>
          <w:t>framework</w:t>
        </w:r>
      </w:hyperlink>
      <w:r w:rsidRPr="007638A5">
        <w:t>. The medical device class names included here align with the classes currently used by the MHRA (low impact: Class 1</w:t>
      </w:r>
      <w:r w:rsidR="00144766">
        <w:t>;</w:t>
      </w:r>
      <w:r w:rsidRPr="007638A5">
        <w:t xml:space="preserve"> high impact: Class 3). The medical device class may also be influenced by other factors including the user type (patient or professional) and level of professional oversight. This table will be </w:t>
      </w:r>
      <w:r w:rsidR="008A34AB">
        <w:t xml:space="preserve">reviewed and </w:t>
      </w:r>
      <w:r w:rsidRPr="007638A5">
        <w:t xml:space="preserve">updated </w:t>
      </w:r>
      <w:r w:rsidR="008A34AB">
        <w:t>in line with changes to MHRA regulations</w:t>
      </w:r>
      <w:r w:rsidRPr="007638A5">
        <w:t>.</w:t>
      </w:r>
    </w:p>
    <w:p w14:paraId="4F21EF4D" w14:textId="77777777" w:rsidR="005435EF" w:rsidRPr="007638A5" w:rsidRDefault="005435EF" w:rsidP="00C81F2A">
      <w:pPr>
        <w:pStyle w:val="NICEnormal"/>
        <w:sectPr w:rsidR="005435EF" w:rsidRPr="007638A5" w:rsidSect="00192E3E">
          <w:headerReference w:type="even" r:id="rId19"/>
          <w:headerReference w:type="default" r:id="rId20"/>
          <w:footerReference w:type="default" r:id="rId21"/>
          <w:headerReference w:type="first" r:id="rId22"/>
          <w:pgSz w:w="16840" w:h="11907" w:orient="landscape" w:code="9"/>
          <w:pgMar w:top="1440" w:right="1440" w:bottom="1440" w:left="1440" w:header="709" w:footer="709" w:gutter="0"/>
          <w:cols w:space="708"/>
          <w:docGrid w:linePitch="360"/>
        </w:sectPr>
      </w:pPr>
    </w:p>
    <w:p w14:paraId="71E5B7C3" w14:textId="323341B9" w:rsidR="00AF37B3" w:rsidRPr="00493D71" w:rsidRDefault="000E4D53" w:rsidP="00C81F2A">
      <w:pPr>
        <w:pStyle w:val="Heading1"/>
        <w:rPr>
          <w:lang w:val="en-GB"/>
        </w:rPr>
      </w:pPr>
      <w:bookmarkStart w:id="23" w:name="_Section_C:_Evidence"/>
      <w:bookmarkEnd w:id="23"/>
      <w:r w:rsidRPr="00493D71">
        <w:rPr>
          <w:lang w:val="en-GB"/>
        </w:rPr>
        <w:t xml:space="preserve">Section C: Evidence </w:t>
      </w:r>
      <w:r w:rsidR="00243CC0" w:rsidRPr="00493D71">
        <w:rPr>
          <w:lang w:val="en-GB"/>
        </w:rPr>
        <w:t xml:space="preserve">standards </w:t>
      </w:r>
      <w:r w:rsidRPr="00493D71">
        <w:rPr>
          <w:lang w:val="en-GB"/>
        </w:rPr>
        <w:t xml:space="preserve">tables </w:t>
      </w:r>
      <w:bookmarkEnd w:id="21"/>
      <w:bookmarkEnd w:id="22"/>
    </w:p>
    <w:p w14:paraId="0308B449" w14:textId="44C2961A" w:rsidR="00B86EFB" w:rsidRPr="007638A5" w:rsidRDefault="0051209B" w:rsidP="0070062A">
      <w:pPr>
        <w:pStyle w:val="NICEnormal"/>
      </w:pPr>
      <w:r w:rsidRPr="007638A5">
        <w:t xml:space="preserve">The NICE evidence standards </w:t>
      </w:r>
      <w:r w:rsidR="0014580A" w:rsidRPr="007638A5">
        <w:t xml:space="preserve">framework </w:t>
      </w:r>
      <w:r w:rsidR="00B743BF">
        <w:t xml:space="preserve">(ESF) </w:t>
      </w:r>
      <w:r w:rsidR="00B12732" w:rsidRPr="007638A5">
        <w:t xml:space="preserve">has been designed to inform the health technology assessment of </w:t>
      </w:r>
      <w:r w:rsidR="00B743BF" w:rsidRPr="00B743BF">
        <w:t xml:space="preserve">digital health technologies </w:t>
      </w:r>
      <w:r w:rsidR="00B743BF">
        <w:t>(</w:t>
      </w:r>
      <w:r w:rsidR="00B12732" w:rsidRPr="007638A5">
        <w:t>DHTs</w:t>
      </w:r>
      <w:r w:rsidR="00B743BF">
        <w:t>)</w:t>
      </w:r>
      <w:r w:rsidR="00B12732" w:rsidRPr="007638A5">
        <w:t xml:space="preserve"> for use in the NHS and social care system. </w:t>
      </w:r>
      <w:r w:rsidR="0014580A" w:rsidRPr="007638A5">
        <w:t xml:space="preserve">The standards </w:t>
      </w:r>
      <w:r w:rsidRPr="007638A5">
        <w:t>are presented in</w:t>
      </w:r>
      <w:r w:rsidR="00243CC0" w:rsidRPr="007638A5">
        <w:t xml:space="preserve"> groups related to </w:t>
      </w:r>
      <w:r w:rsidR="008F6760">
        <w:t>phases</w:t>
      </w:r>
      <w:r w:rsidR="00243CC0" w:rsidRPr="007638A5">
        <w:t xml:space="preserve"> of the </w:t>
      </w:r>
      <w:r w:rsidR="008F6760">
        <w:t xml:space="preserve">DHT </w:t>
      </w:r>
      <w:r w:rsidRPr="007638A5">
        <w:t>product life cycle.</w:t>
      </w:r>
      <w:r w:rsidR="00B12732" w:rsidRPr="007638A5">
        <w:t xml:space="preserve"> There are </w:t>
      </w:r>
      <w:r w:rsidR="00C554CC">
        <w:t xml:space="preserve">24 standards arranged in </w:t>
      </w:r>
      <w:r w:rsidR="00B12732" w:rsidRPr="007638A5">
        <w:t xml:space="preserve">5 </w:t>
      </w:r>
      <w:r w:rsidR="00243CC0" w:rsidRPr="007638A5">
        <w:t>groups</w:t>
      </w:r>
      <w:r w:rsidR="00B12732" w:rsidRPr="007638A5">
        <w:t xml:space="preserve">: </w:t>
      </w:r>
    </w:p>
    <w:p w14:paraId="0D0E31D6" w14:textId="7805466C" w:rsidR="00B86EFB" w:rsidRPr="007638A5" w:rsidRDefault="0014580A" w:rsidP="009F1F47">
      <w:pPr>
        <w:pStyle w:val="Bulletleft1"/>
      </w:pPr>
      <w:r w:rsidRPr="00990CAC">
        <w:rPr>
          <w:b/>
          <w:bCs/>
        </w:rPr>
        <w:t>Design factors:</w:t>
      </w:r>
      <w:r w:rsidRPr="007638A5">
        <w:t xml:space="preserve"> </w:t>
      </w:r>
      <w:r w:rsidR="00AC5013" w:rsidRPr="007638A5">
        <w:t xml:space="preserve">The </w:t>
      </w:r>
      <w:r w:rsidR="0023651B">
        <w:t>8</w:t>
      </w:r>
      <w:r w:rsidR="00AC5013" w:rsidRPr="007638A5">
        <w:t xml:space="preserve"> standards </w:t>
      </w:r>
      <w:r w:rsidRPr="007638A5">
        <w:t xml:space="preserve">identify </w:t>
      </w:r>
      <w:r w:rsidR="00DE1AD7" w:rsidRPr="007638A5">
        <w:t xml:space="preserve">key aspects of the design process </w:t>
      </w:r>
      <w:r w:rsidR="00990CAC">
        <w:t>that</w:t>
      </w:r>
      <w:r w:rsidR="00990CAC" w:rsidRPr="007638A5">
        <w:t xml:space="preserve"> </w:t>
      </w:r>
      <w:r w:rsidR="00DE1AD7" w:rsidRPr="007638A5">
        <w:t xml:space="preserve">impact the </w:t>
      </w:r>
      <w:r w:rsidR="00AC5013" w:rsidRPr="007638A5">
        <w:t>DHT</w:t>
      </w:r>
      <w:r w:rsidR="00990CAC">
        <w:t>’</w:t>
      </w:r>
      <w:r w:rsidR="00AC5013" w:rsidRPr="007638A5">
        <w:t xml:space="preserve">s value to the health and care system. </w:t>
      </w:r>
    </w:p>
    <w:p w14:paraId="444CEDA0" w14:textId="3DF90337" w:rsidR="0014580A" w:rsidRPr="007638A5" w:rsidRDefault="0014580A" w:rsidP="009F1F47">
      <w:pPr>
        <w:pStyle w:val="Bulletleft1"/>
      </w:pPr>
      <w:r w:rsidRPr="00990CAC">
        <w:rPr>
          <w:b/>
          <w:bCs/>
        </w:rPr>
        <w:t>Describing value:</w:t>
      </w:r>
      <w:r w:rsidRPr="007638A5">
        <w:t xml:space="preserve"> The 4 standards apply across all </w:t>
      </w:r>
      <w:r w:rsidR="00DE1AD7" w:rsidRPr="007638A5">
        <w:t>tiers</w:t>
      </w:r>
      <w:r w:rsidRPr="007638A5">
        <w:t xml:space="preserve"> and </w:t>
      </w:r>
      <w:r w:rsidR="00B12732" w:rsidRPr="007638A5">
        <w:t xml:space="preserve">present </w:t>
      </w:r>
      <w:r w:rsidRPr="007638A5">
        <w:t xml:space="preserve">the value proposition </w:t>
      </w:r>
      <w:r w:rsidR="00B12732" w:rsidRPr="007638A5">
        <w:t>of the technology.</w:t>
      </w:r>
    </w:p>
    <w:p w14:paraId="155339D9" w14:textId="47B1AED7" w:rsidR="00B12732" w:rsidRPr="007638A5" w:rsidRDefault="00B12732" w:rsidP="009F1F47">
      <w:pPr>
        <w:pStyle w:val="Bulletleft1"/>
      </w:pPr>
      <w:r w:rsidRPr="00990CAC">
        <w:rPr>
          <w:b/>
          <w:bCs/>
        </w:rPr>
        <w:t>Demonstrating performance:</w:t>
      </w:r>
      <w:r w:rsidR="00107D01" w:rsidRPr="007638A5">
        <w:t xml:space="preserve"> </w:t>
      </w:r>
      <w:r w:rsidR="0023651B">
        <w:t>Standards 15 to 17</w:t>
      </w:r>
      <w:r w:rsidR="00107D01" w:rsidRPr="007638A5">
        <w:t xml:space="preserve"> </w:t>
      </w:r>
      <w:r w:rsidR="00DE1AD7" w:rsidRPr="007638A5">
        <w:t xml:space="preserve">ensure </w:t>
      </w:r>
      <w:r w:rsidR="00107D01" w:rsidRPr="007638A5">
        <w:t xml:space="preserve">the technology </w:t>
      </w:r>
      <w:r w:rsidR="0026741A" w:rsidRPr="007638A5">
        <w:t xml:space="preserve">has the </w:t>
      </w:r>
      <w:r w:rsidR="00107D01" w:rsidRPr="007638A5">
        <w:t>appropriate technical</w:t>
      </w:r>
      <w:r w:rsidR="0026741A" w:rsidRPr="007638A5">
        <w:t xml:space="preserve"> standards for safety and </w:t>
      </w:r>
      <w:proofErr w:type="gramStart"/>
      <w:r w:rsidR="0026741A" w:rsidRPr="007638A5">
        <w:t>reliability</w:t>
      </w:r>
      <w:r w:rsidR="00990CAC">
        <w:t>,</w:t>
      </w:r>
      <w:r w:rsidR="0026741A" w:rsidRPr="007638A5">
        <w:t xml:space="preserve"> and</w:t>
      </w:r>
      <w:proofErr w:type="gramEnd"/>
      <w:r w:rsidR="0026741A" w:rsidRPr="007638A5">
        <w:t xml:space="preserve"> meets </w:t>
      </w:r>
      <w:r w:rsidR="00243CC0" w:rsidRPr="007638A5">
        <w:t>the performance</w:t>
      </w:r>
      <w:r w:rsidR="00107D01" w:rsidRPr="007638A5">
        <w:t xml:space="preserve"> </w:t>
      </w:r>
      <w:r w:rsidR="0026741A" w:rsidRPr="007638A5">
        <w:t xml:space="preserve">expectations. There are 2 additional standards for </w:t>
      </w:r>
      <w:r w:rsidR="00990CAC">
        <w:t>t</w:t>
      </w:r>
      <w:r w:rsidR="0026741A" w:rsidRPr="007638A5">
        <w:t>ier C technologies to demonstrate clinical effectiveness.</w:t>
      </w:r>
    </w:p>
    <w:p w14:paraId="4D771F73" w14:textId="37E5CFD1" w:rsidR="0026741A" w:rsidRPr="007638A5" w:rsidRDefault="0026741A" w:rsidP="009F1F47">
      <w:pPr>
        <w:pStyle w:val="Bulletleft1"/>
      </w:pPr>
      <w:r w:rsidRPr="00990CAC">
        <w:rPr>
          <w:b/>
          <w:bCs/>
        </w:rPr>
        <w:t>Delivering value:</w:t>
      </w:r>
      <w:r w:rsidRPr="007638A5">
        <w:t xml:space="preserve"> The 4 standards apply across all tiers and show how DHTs should demonstrate their value for money. </w:t>
      </w:r>
    </w:p>
    <w:p w14:paraId="76659CF2" w14:textId="15B77AAA" w:rsidR="0026741A" w:rsidRDefault="0026741A" w:rsidP="009F1F47">
      <w:pPr>
        <w:pStyle w:val="Bulletleft1last"/>
      </w:pPr>
      <w:r w:rsidRPr="00990CAC">
        <w:rPr>
          <w:b/>
          <w:bCs/>
        </w:rPr>
        <w:t>Deployment considerations:</w:t>
      </w:r>
      <w:r w:rsidRPr="007638A5">
        <w:t xml:space="preserve"> </w:t>
      </w:r>
      <w:r w:rsidR="00DE1AD7" w:rsidRPr="007638A5">
        <w:t>The 3 standards apply across all tiers.</w:t>
      </w:r>
    </w:p>
    <w:p w14:paraId="3AE9956A" w14:textId="38C81FEA" w:rsidR="00383B24" w:rsidRPr="00493D71" w:rsidRDefault="00C274A5" w:rsidP="00383B24">
      <w:pPr>
        <w:pStyle w:val="Bulletleft1last"/>
        <w:numPr>
          <w:ilvl w:val="0"/>
          <w:numId w:val="0"/>
        </w:numPr>
      </w:pPr>
      <w:r w:rsidRPr="00AF6E34">
        <w:rPr>
          <w:rFonts w:cs="Times New Roman"/>
        </w:rPr>
        <w:t>We plan to publish some case studies of different DHTs to show how they have met their evidence standards</w:t>
      </w:r>
      <w:r w:rsidR="00175307">
        <w:rPr>
          <w:rFonts w:cs="Times New Roman"/>
        </w:rPr>
        <w:t xml:space="preserve">, </w:t>
      </w:r>
      <w:r w:rsidRPr="00AF6E34">
        <w:rPr>
          <w:rFonts w:cs="Times New Roman"/>
        </w:rPr>
        <w:t>in June 2022.</w:t>
      </w:r>
    </w:p>
    <w:p w14:paraId="05E093D6" w14:textId="7082DA0C" w:rsidR="00BC4EE9" w:rsidRDefault="00BC4EE9" w:rsidP="00BC4EE9">
      <w:pPr>
        <w:pStyle w:val="Caption"/>
      </w:pPr>
      <w:r>
        <w:t xml:space="preserve">Figure </w:t>
      </w:r>
      <w:fldSimple w:instr=" SEQ Figure \* ARABIC ">
        <w:r w:rsidR="000A1720">
          <w:rPr>
            <w:noProof/>
          </w:rPr>
          <w:t>2</w:t>
        </w:r>
      </w:fldSimple>
      <w:r>
        <w:t xml:space="preserve"> The 5 groups of evidence standards relating to different aspects of the product life cycle</w:t>
      </w:r>
    </w:p>
    <w:p w14:paraId="15472E9F" w14:textId="707D1618" w:rsidR="00383B24" w:rsidRDefault="00C410B7" w:rsidP="00C410B7">
      <w:pPr>
        <w:rPr>
          <w:lang w:eastAsia="en-US"/>
        </w:rPr>
      </w:pPr>
      <w:r>
        <w:rPr>
          <w:noProof/>
          <w:lang w:eastAsia="en-US"/>
        </w:rPr>
        <w:drawing>
          <wp:inline distT="0" distB="0" distL="0" distR="0" wp14:anchorId="3B175BD0" wp14:editId="143E606F">
            <wp:extent cx="5686653" cy="16022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6653" cy="1602223"/>
                    </a:xfrm>
                    <a:prstGeom prst="rect">
                      <a:avLst/>
                    </a:prstGeom>
                    <a:noFill/>
                  </pic:spPr>
                </pic:pic>
              </a:graphicData>
            </a:graphic>
          </wp:inline>
        </w:drawing>
      </w:r>
    </w:p>
    <w:p w14:paraId="4E95FB25" w14:textId="77777777" w:rsidR="00C410B7" w:rsidRPr="00BC4EE9" w:rsidRDefault="00C410B7" w:rsidP="00C410B7">
      <w:pPr>
        <w:rPr>
          <w:lang w:eastAsia="en-US"/>
        </w:rPr>
      </w:pPr>
    </w:p>
    <w:p w14:paraId="10CBB934" w14:textId="5CC2E8EB" w:rsidR="00820B48" w:rsidRPr="007638A5" w:rsidRDefault="00820B48" w:rsidP="00CB7C79">
      <w:pPr>
        <w:pStyle w:val="Heading2"/>
      </w:pPr>
      <w:r w:rsidRPr="007638A5">
        <w:t>Summary of NICE ESF standards</w:t>
      </w:r>
    </w:p>
    <w:p w14:paraId="6D540DC7" w14:textId="0CB4C5C8" w:rsidR="0051209B" w:rsidRPr="007638A5" w:rsidRDefault="00474E90" w:rsidP="0070062A">
      <w:pPr>
        <w:pStyle w:val="NICEnormal"/>
      </w:pPr>
      <w:r>
        <w:t>T</w:t>
      </w:r>
      <w:r w:rsidR="004D009F" w:rsidRPr="007638A5">
        <w:t xml:space="preserve">ables </w:t>
      </w:r>
      <w:r>
        <w:t xml:space="preserve">3 to 7 </w:t>
      </w:r>
      <w:r w:rsidR="00B86EFB" w:rsidRPr="007638A5">
        <w:t>summari</w:t>
      </w:r>
      <w:r w:rsidR="004D009F" w:rsidRPr="007638A5">
        <w:t>se</w:t>
      </w:r>
      <w:r w:rsidR="00B86EFB" w:rsidRPr="007638A5">
        <w:t xml:space="preserve"> the 24 standards and </w:t>
      </w:r>
      <w:r w:rsidR="00BD0171" w:rsidRPr="007638A5">
        <w:t>specif</w:t>
      </w:r>
      <w:r w:rsidR="00CB7C79">
        <w:t>y</w:t>
      </w:r>
      <w:r w:rsidR="00B86EFB" w:rsidRPr="007638A5">
        <w:t xml:space="preserve"> the classification tiers </w:t>
      </w:r>
      <w:r w:rsidR="00BD0171" w:rsidRPr="007638A5">
        <w:t xml:space="preserve">to </w:t>
      </w:r>
      <w:r w:rsidR="00B86EFB" w:rsidRPr="007638A5">
        <w:t xml:space="preserve">which </w:t>
      </w:r>
      <w:r w:rsidR="00BD0171" w:rsidRPr="007638A5">
        <w:t>each standard</w:t>
      </w:r>
      <w:r w:rsidR="00B86EFB" w:rsidRPr="007638A5">
        <w:t xml:space="preserve"> applies</w:t>
      </w:r>
      <w:r w:rsidR="00BD0171" w:rsidRPr="007638A5">
        <w:t>.</w:t>
      </w:r>
      <w:r w:rsidR="00B86EFB" w:rsidRPr="007638A5">
        <w:t xml:space="preserve"> </w:t>
      </w:r>
      <w:r w:rsidR="00050678">
        <w:t>A</w:t>
      </w:r>
      <w:r w:rsidR="00B86EFB" w:rsidRPr="007638A5">
        <w:t xml:space="preserve">dditional information </w:t>
      </w:r>
      <w:r w:rsidR="00050678">
        <w:t xml:space="preserve">is provided in the </w:t>
      </w:r>
      <w:hyperlink w:anchor="_Design_factors" w:history="1">
        <w:r w:rsidR="00050678" w:rsidRPr="00381CEE">
          <w:rPr>
            <w:rStyle w:val="Hyperlink"/>
          </w:rPr>
          <w:t xml:space="preserve">section </w:t>
        </w:r>
        <w:r w:rsidR="00381CEE" w:rsidRPr="00381CEE">
          <w:rPr>
            <w:rStyle w:val="Hyperlink"/>
          </w:rPr>
          <w:t>on h</w:t>
        </w:r>
        <w:r w:rsidR="00050678" w:rsidRPr="00381CEE">
          <w:rPr>
            <w:rStyle w:val="Hyperlink"/>
          </w:rPr>
          <w:t>ow to meet the standards</w:t>
        </w:r>
      </w:hyperlink>
      <w:r w:rsidR="00050678">
        <w:t xml:space="preserve">, </w:t>
      </w:r>
      <w:r w:rsidR="00BD0171" w:rsidRPr="007638A5">
        <w:t xml:space="preserve">to </w:t>
      </w:r>
      <w:r w:rsidR="00050678">
        <w:t xml:space="preserve">explain the kind of information that a company needs to show </w:t>
      </w:r>
      <w:proofErr w:type="gramStart"/>
      <w:r w:rsidR="00050678">
        <w:t>in order for</w:t>
      </w:r>
      <w:proofErr w:type="gramEnd"/>
      <w:r w:rsidR="00050678">
        <w:t xml:space="preserve"> a DHT to</w:t>
      </w:r>
      <w:r w:rsidR="00AC5013" w:rsidRPr="007638A5">
        <w:t xml:space="preserve"> </w:t>
      </w:r>
      <w:r w:rsidR="00B86EFB" w:rsidRPr="007638A5">
        <w:t xml:space="preserve">meet </w:t>
      </w:r>
      <w:r w:rsidR="00050678">
        <w:t xml:space="preserve">each </w:t>
      </w:r>
      <w:r w:rsidR="00B86EFB" w:rsidRPr="007638A5">
        <w:t>standard.</w:t>
      </w:r>
    </w:p>
    <w:p w14:paraId="5CF588D1" w14:textId="38A85A65" w:rsidR="004D009F" w:rsidRPr="007638A5" w:rsidRDefault="004D009F" w:rsidP="004D009F">
      <w:pPr>
        <w:pStyle w:val="Caption"/>
      </w:pPr>
      <w:r w:rsidRPr="007638A5">
        <w:t xml:space="preserve">Table </w:t>
      </w:r>
      <w:r w:rsidR="00CB7C79">
        <w:t>3</w:t>
      </w:r>
      <w:r w:rsidRPr="007638A5">
        <w:t xml:space="preserve"> Design factors</w:t>
      </w:r>
    </w:p>
    <w:tbl>
      <w:tblPr>
        <w:tblStyle w:val="TableGrid"/>
        <w:tblW w:w="0" w:type="auto"/>
        <w:tblLook w:val="04A0" w:firstRow="1" w:lastRow="0" w:firstColumn="1" w:lastColumn="0" w:noHBand="0" w:noVBand="1"/>
        <w:tblCaption w:val="Table 3 Design factors"/>
        <w:tblDescription w:val="The table summarises the 7 design factors standards, which identify key aspects of the design process that impact the DHT’s value to the health and care system"/>
      </w:tblPr>
      <w:tblGrid>
        <w:gridCol w:w="6232"/>
        <w:gridCol w:w="2785"/>
      </w:tblGrid>
      <w:tr w:rsidR="00BE7E2E" w:rsidRPr="007638A5" w14:paraId="3D0F8C3B" w14:textId="77777777" w:rsidTr="007A0EBC">
        <w:tc>
          <w:tcPr>
            <w:tcW w:w="6232" w:type="dxa"/>
          </w:tcPr>
          <w:p w14:paraId="528E945D" w14:textId="77777777" w:rsidR="004D009F" w:rsidRPr="007638A5" w:rsidRDefault="004D009F" w:rsidP="00FB7858">
            <w:pPr>
              <w:pStyle w:val="Tableheading"/>
            </w:pPr>
            <w:r w:rsidRPr="007638A5">
              <w:t>Standard</w:t>
            </w:r>
          </w:p>
        </w:tc>
        <w:tc>
          <w:tcPr>
            <w:tcW w:w="2785" w:type="dxa"/>
          </w:tcPr>
          <w:p w14:paraId="42DE96D7" w14:textId="0C80D081" w:rsidR="004D009F" w:rsidRPr="007638A5" w:rsidRDefault="004056C4" w:rsidP="00FB7858">
            <w:pPr>
              <w:pStyle w:val="Tableheading"/>
            </w:pPr>
            <w:r>
              <w:t xml:space="preserve">Tiers </w:t>
            </w:r>
            <w:r w:rsidR="00C554CC">
              <w:t>to</w:t>
            </w:r>
            <w:r>
              <w:t xml:space="preserve"> which the evidence s</w:t>
            </w:r>
            <w:r w:rsidR="00F61D2F">
              <w:t>tandard applies</w:t>
            </w:r>
          </w:p>
        </w:tc>
      </w:tr>
      <w:tr w:rsidR="00BE7E2E" w:rsidRPr="007638A5" w14:paraId="17348F04" w14:textId="77777777" w:rsidTr="007A0EBC">
        <w:tc>
          <w:tcPr>
            <w:tcW w:w="6232" w:type="dxa"/>
          </w:tcPr>
          <w:p w14:paraId="6B55C00C" w14:textId="28BDC970" w:rsidR="004D009F" w:rsidRPr="007638A5" w:rsidRDefault="003E2578" w:rsidP="00FB7858">
            <w:pPr>
              <w:pStyle w:val="Tabletext"/>
            </w:pPr>
            <w:hyperlink w:anchor="_Information_that_can" w:history="1">
              <w:r w:rsidR="004D009F" w:rsidRPr="00EC1D67">
                <w:rPr>
                  <w:rStyle w:val="Hyperlink"/>
                </w:rPr>
                <w:t xml:space="preserve">1: incorporate </w:t>
              </w:r>
              <w:r w:rsidR="00AC5EA6" w:rsidRPr="00EC1D67">
                <w:rPr>
                  <w:rStyle w:val="Hyperlink"/>
                </w:rPr>
                <w:t>service user</w:t>
              </w:r>
              <w:r w:rsidR="004D009F" w:rsidRPr="00EC1D67">
                <w:rPr>
                  <w:rStyle w:val="Hyperlink"/>
                </w:rPr>
                <w:t xml:space="preserve"> acceptability in the design of the DHT</w:t>
              </w:r>
            </w:hyperlink>
          </w:p>
        </w:tc>
        <w:tc>
          <w:tcPr>
            <w:tcW w:w="2785" w:type="dxa"/>
          </w:tcPr>
          <w:p w14:paraId="53B588AA" w14:textId="77777777" w:rsidR="004D009F" w:rsidRPr="007638A5" w:rsidRDefault="004D009F" w:rsidP="00FB7858">
            <w:pPr>
              <w:pStyle w:val="Tabletext"/>
            </w:pPr>
            <w:r w:rsidRPr="007638A5">
              <w:t>A, B and C</w:t>
            </w:r>
          </w:p>
        </w:tc>
      </w:tr>
      <w:tr w:rsidR="00BE7E2E" w:rsidRPr="007638A5" w14:paraId="2247B5ED" w14:textId="77777777" w:rsidTr="007A0EBC">
        <w:tc>
          <w:tcPr>
            <w:tcW w:w="6232" w:type="dxa"/>
          </w:tcPr>
          <w:p w14:paraId="614B977E" w14:textId="1C04C344" w:rsidR="004D009F" w:rsidRPr="007638A5" w:rsidRDefault="003E2578" w:rsidP="00FB7858">
            <w:pPr>
              <w:pStyle w:val="Tabletext"/>
            </w:pPr>
            <w:hyperlink w:anchor="_Information_that_can_1" w:history="1">
              <w:r w:rsidR="004D009F" w:rsidRPr="00F10511">
                <w:rPr>
                  <w:rStyle w:val="Hyperlink"/>
                </w:rPr>
                <w:t>2: consider environmental sustainability</w:t>
              </w:r>
            </w:hyperlink>
          </w:p>
        </w:tc>
        <w:tc>
          <w:tcPr>
            <w:tcW w:w="2785" w:type="dxa"/>
          </w:tcPr>
          <w:p w14:paraId="2BFF99E9" w14:textId="77777777" w:rsidR="004D009F" w:rsidRPr="007638A5" w:rsidRDefault="004D009F" w:rsidP="00FB7858">
            <w:pPr>
              <w:pStyle w:val="Tabletext"/>
            </w:pPr>
            <w:r w:rsidRPr="007638A5">
              <w:t>A, B and C</w:t>
            </w:r>
          </w:p>
        </w:tc>
      </w:tr>
      <w:tr w:rsidR="00156011" w:rsidRPr="007638A5" w14:paraId="5F8906B8" w14:textId="77777777" w:rsidTr="007A0EBC">
        <w:tc>
          <w:tcPr>
            <w:tcW w:w="6232" w:type="dxa"/>
          </w:tcPr>
          <w:p w14:paraId="732CF869" w14:textId="2AC2B9C8" w:rsidR="00156011" w:rsidRDefault="003E2578" w:rsidP="00156011">
            <w:pPr>
              <w:pStyle w:val="Tabletext"/>
            </w:pPr>
            <w:hyperlink w:anchor="_Standard_3:_consider" w:history="1">
              <w:r w:rsidR="00CF3EA7">
                <w:rPr>
                  <w:rStyle w:val="Hyperlink"/>
                </w:rPr>
                <w:t>3</w:t>
              </w:r>
              <w:r w:rsidR="00156011" w:rsidRPr="00C70A8A">
                <w:rPr>
                  <w:rStyle w:val="Hyperlink"/>
                </w:rPr>
                <w:t>: consider health and care inequalities and bias mitigation</w:t>
              </w:r>
            </w:hyperlink>
          </w:p>
        </w:tc>
        <w:tc>
          <w:tcPr>
            <w:tcW w:w="2785" w:type="dxa"/>
          </w:tcPr>
          <w:p w14:paraId="1F42C4EA" w14:textId="7FD16235" w:rsidR="00156011" w:rsidRPr="007638A5" w:rsidRDefault="00156011" w:rsidP="00156011">
            <w:pPr>
              <w:pStyle w:val="Tabletext"/>
            </w:pPr>
            <w:r w:rsidRPr="007638A5">
              <w:t>A, B and C</w:t>
            </w:r>
          </w:p>
        </w:tc>
      </w:tr>
      <w:tr w:rsidR="00156011" w:rsidRPr="007638A5" w14:paraId="66B2F833" w14:textId="77777777" w:rsidTr="007A0EBC">
        <w:tc>
          <w:tcPr>
            <w:tcW w:w="6232" w:type="dxa"/>
          </w:tcPr>
          <w:p w14:paraId="77F0EA54" w14:textId="4FCF847F" w:rsidR="00156011" w:rsidRPr="007638A5" w:rsidRDefault="003E2578" w:rsidP="00156011">
            <w:pPr>
              <w:pStyle w:val="Tabletext"/>
            </w:pPr>
            <w:hyperlink w:anchor="_Standard_34:_embed" w:history="1">
              <w:r w:rsidR="00CF3EA7">
                <w:rPr>
                  <w:rStyle w:val="Hyperlink"/>
                </w:rPr>
                <w:t>4</w:t>
              </w:r>
              <w:r w:rsidR="00156011" w:rsidRPr="00F10511">
                <w:rPr>
                  <w:rStyle w:val="Hyperlink"/>
                </w:rPr>
                <w:t>: embed good data practices in the design of the DHT</w:t>
              </w:r>
            </w:hyperlink>
          </w:p>
        </w:tc>
        <w:tc>
          <w:tcPr>
            <w:tcW w:w="2785" w:type="dxa"/>
          </w:tcPr>
          <w:p w14:paraId="705A9D96" w14:textId="77777777" w:rsidR="00156011" w:rsidRPr="007638A5" w:rsidRDefault="00156011" w:rsidP="00156011">
            <w:pPr>
              <w:pStyle w:val="Tabletext"/>
            </w:pPr>
            <w:r w:rsidRPr="007638A5">
              <w:t>A, B and C</w:t>
            </w:r>
          </w:p>
        </w:tc>
      </w:tr>
      <w:tr w:rsidR="00156011" w:rsidRPr="007638A5" w14:paraId="2B256217" w14:textId="77777777" w:rsidTr="007A0EBC">
        <w:tc>
          <w:tcPr>
            <w:tcW w:w="6232" w:type="dxa"/>
          </w:tcPr>
          <w:p w14:paraId="78DF304F" w14:textId="1FAF6EA5" w:rsidR="00156011" w:rsidRPr="007638A5" w:rsidRDefault="003E2578" w:rsidP="00156011">
            <w:pPr>
              <w:pStyle w:val="Tabletext"/>
            </w:pPr>
            <w:hyperlink w:anchor="_Standard_45:_define" w:history="1">
              <w:r w:rsidR="00CF3EA7">
                <w:rPr>
                  <w:rStyle w:val="Hyperlink"/>
                </w:rPr>
                <w:t>5</w:t>
              </w:r>
              <w:r w:rsidR="00156011" w:rsidRPr="00F10511">
                <w:rPr>
                  <w:rStyle w:val="Hyperlink"/>
                </w:rPr>
                <w:t>: define the level of professional oversight</w:t>
              </w:r>
            </w:hyperlink>
          </w:p>
        </w:tc>
        <w:tc>
          <w:tcPr>
            <w:tcW w:w="2785" w:type="dxa"/>
          </w:tcPr>
          <w:p w14:paraId="254D343F" w14:textId="77777777" w:rsidR="00156011" w:rsidRPr="007638A5" w:rsidRDefault="00156011" w:rsidP="00156011">
            <w:pPr>
              <w:pStyle w:val="Tabletext"/>
            </w:pPr>
            <w:r w:rsidRPr="007638A5">
              <w:t>A, B and C</w:t>
            </w:r>
          </w:p>
        </w:tc>
      </w:tr>
      <w:tr w:rsidR="00156011" w:rsidRPr="007638A5" w14:paraId="67C72C19" w14:textId="77777777" w:rsidTr="007A0EBC">
        <w:tc>
          <w:tcPr>
            <w:tcW w:w="6232" w:type="dxa"/>
          </w:tcPr>
          <w:p w14:paraId="53BB8436" w14:textId="3A0B2C12" w:rsidR="00156011" w:rsidRPr="007638A5" w:rsidRDefault="003E2578" w:rsidP="00156011">
            <w:pPr>
              <w:pStyle w:val="Tabletext"/>
            </w:pPr>
            <w:hyperlink w:anchor="_Standard_56:_show" w:history="1">
              <w:r w:rsidR="00CF3EA7">
                <w:rPr>
                  <w:rStyle w:val="Hyperlink"/>
                </w:rPr>
                <w:t>6</w:t>
              </w:r>
              <w:r w:rsidR="00156011" w:rsidRPr="00F10511">
                <w:rPr>
                  <w:rStyle w:val="Hyperlink"/>
                </w:rPr>
                <w:t>: show processes for creating reliable health information</w:t>
              </w:r>
            </w:hyperlink>
          </w:p>
        </w:tc>
        <w:tc>
          <w:tcPr>
            <w:tcW w:w="2785" w:type="dxa"/>
          </w:tcPr>
          <w:p w14:paraId="5BCBE767" w14:textId="77777777" w:rsidR="00156011" w:rsidRPr="007638A5" w:rsidRDefault="00156011" w:rsidP="00156011">
            <w:pPr>
              <w:pStyle w:val="Tabletext"/>
            </w:pPr>
            <w:r w:rsidRPr="007638A5">
              <w:t>B and C</w:t>
            </w:r>
          </w:p>
        </w:tc>
      </w:tr>
      <w:tr w:rsidR="00156011" w:rsidRPr="007638A5" w14:paraId="211C590D" w14:textId="77777777" w:rsidTr="007A0EBC">
        <w:tc>
          <w:tcPr>
            <w:tcW w:w="6232" w:type="dxa"/>
          </w:tcPr>
          <w:p w14:paraId="1FC4D7E6" w14:textId="338E9162" w:rsidR="00156011" w:rsidRPr="007638A5" w:rsidRDefault="003E2578" w:rsidP="00156011">
            <w:pPr>
              <w:pStyle w:val="Tabletext"/>
            </w:pPr>
            <w:hyperlink w:anchor="_Standard_67:_show" w:history="1">
              <w:r w:rsidR="00CF3EA7">
                <w:rPr>
                  <w:rStyle w:val="Hyperlink"/>
                </w:rPr>
                <w:t>7</w:t>
              </w:r>
              <w:r w:rsidR="00156011" w:rsidRPr="00F10511">
                <w:rPr>
                  <w:rStyle w:val="Hyperlink"/>
                </w:rPr>
                <w:t>: show that the DHT is credible with UK professionals</w:t>
              </w:r>
            </w:hyperlink>
          </w:p>
        </w:tc>
        <w:tc>
          <w:tcPr>
            <w:tcW w:w="2785" w:type="dxa"/>
          </w:tcPr>
          <w:p w14:paraId="5D9B4428" w14:textId="77777777" w:rsidR="00156011" w:rsidRPr="007638A5" w:rsidRDefault="00156011" w:rsidP="00156011">
            <w:pPr>
              <w:pStyle w:val="Tabletext"/>
            </w:pPr>
            <w:r w:rsidRPr="007638A5">
              <w:t>B and C</w:t>
            </w:r>
          </w:p>
        </w:tc>
      </w:tr>
      <w:tr w:rsidR="00156011" w:rsidRPr="007638A5" w14:paraId="3A918043" w14:textId="77777777" w:rsidTr="007A0EBC">
        <w:tc>
          <w:tcPr>
            <w:tcW w:w="6232" w:type="dxa"/>
          </w:tcPr>
          <w:p w14:paraId="1A8A19E4" w14:textId="2110A71B" w:rsidR="00156011" w:rsidRPr="007638A5" w:rsidRDefault="003E2578" w:rsidP="00156011">
            <w:pPr>
              <w:pStyle w:val="Tabletext"/>
            </w:pPr>
            <w:hyperlink w:anchor="_Standard_78:_provide" w:history="1">
              <w:r w:rsidR="00EB5CEC">
                <w:rPr>
                  <w:rStyle w:val="Hyperlink"/>
                </w:rPr>
                <w:t>8</w:t>
              </w:r>
              <w:r w:rsidR="00156011" w:rsidRPr="00F10511">
                <w:rPr>
                  <w:rStyle w:val="Hyperlink"/>
                </w:rPr>
                <w:t xml:space="preserve">: provide safeguarding assurances for DHTs where service users </w:t>
              </w:r>
              <w:proofErr w:type="gramStart"/>
              <w:r w:rsidR="00156011" w:rsidRPr="00F10511">
                <w:rPr>
                  <w:rStyle w:val="Hyperlink"/>
                </w:rPr>
                <w:t>are considered to be</w:t>
              </w:r>
              <w:proofErr w:type="gramEnd"/>
              <w:r w:rsidR="00156011" w:rsidRPr="00F10511">
                <w:rPr>
                  <w:rStyle w:val="Hyperlink"/>
                </w:rPr>
                <w:t xml:space="preserve"> in vulnerable groups, or where peer-peer interaction is enabled</w:t>
              </w:r>
            </w:hyperlink>
          </w:p>
        </w:tc>
        <w:tc>
          <w:tcPr>
            <w:tcW w:w="2785" w:type="dxa"/>
          </w:tcPr>
          <w:p w14:paraId="3F1004B0" w14:textId="77777777" w:rsidR="00156011" w:rsidRPr="007638A5" w:rsidRDefault="00156011" w:rsidP="00156011">
            <w:pPr>
              <w:pStyle w:val="Tabletext"/>
            </w:pPr>
            <w:r w:rsidRPr="007638A5">
              <w:t>B and C</w:t>
            </w:r>
          </w:p>
        </w:tc>
      </w:tr>
    </w:tbl>
    <w:p w14:paraId="36049B2B" w14:textId="00282540" w:rsidR="004D009F" w:rsidRPr="007638A5" w:rsidRDefault="004D009F" w:rsidP="004D009F">
      <w:pPr>
        <w:pStyle w:val="Caption"/>
      </w:pPr>
      <w:bookmarkStart w:id="24" w:name="_Hlk98167604"/>
      <w:r w:rsidRPr="007638A5">
        <w:t xml:space="preserve">Table </w:t>
      </w:r>
      <w:r w:rsidR="00CB7C79">
        <w:t>4</w:t>
      </w:r>
      <w:r w:rsidRPr="007638A5">
        <w:t xml:space="preserve"> Describing value</w:t>
      </w:r>
    </w:p>
    <w:tbl>
      <w:tblPr>
        <w:tblStyle w:val="TableGrid"/>
        <w:tblW w:w="0" w:type="auto"/>
        <w:tblLook w:val="04A0" w:firstRow="1" w:lastRow="0" w:firstColumn="1" w:lastColumn="0" w:noHBand="0" w:noVBand="1"/>
        <w:tblCaption w:val="Table 4 Describing value"/>
        <w:tblDescription w:val="The table sumamrises the 4 describing value standards, which apply across all tiers and present the value proposition of the technology"/>
      </w:tblPr>
      <w:tblGrid>
        <w:gridCol w:w="6224"/>
        <w:gridCol w:w="2793"/>
      </w:tblGrid>
      <w:tr w:rsidR="00BE7E2E" w:rsidRPr="007638A5" w14:paraId="2E4BAB84" w14:textId="77777777" w:rsidTr="007A0EBC">
        <w:tc>
          <w:tcPr>
            <w:tcW w:w="6224" w:type="dxa"/>
          </w:tcPr>
          <w:p w14:paraId="69C180FB" w14:textId="77777777" w:rsidR="004D009F" w:rsidRPr="007638A5" w:rsidRDefault="004D009F" w:rsidP="00FB7858">
            <w:pPr>
              <w:pStyle w:val="Tableheading"/>
            </w:pPr>
            <w:r w:rsidRPr="007638A5">
              <w:t>Standard</w:t>
            </w:r>
          </w:p>
        </w:tc>
        <w:tc>
          <w:tcPr>
            <w:tcW w:w="2793" w:type="dxa"/>
          </w:tcPr>
          <w:p w14:paraId="3F7E1E83" w14:textId="1E1220E9" w:rsidR="004D009F" w:rsidRPr="007638A5" w:rsidRDefault="009F754C" w:rsidP="00FB7858">
            <w:pPr>
              <w:pStyle w:val="Tableheading"/>
            </w:pPr>
            <w:r>
              <w:t>D</w:t>
            </w:r>
            <w:r w:rsidRPr="009F754C">
              <w:t xml:space="preserve">igital health technologies </w:t>
            </w:r>
            <w:r>
              <w:t>(</w:t>
            </w:r>
            <w:r w:rsidR="004D009F" w:rsidRPr="007638A5">
              <w:t>DHTs</w:t>
            </w:r>
            <w:r>
              <w:t>)</w:t>
            </w:r>
            <w:r w:rsidR="004D009F" w:rsidRPr="007638A5">
              <w:t xml:space="preserve"> it applies in</w:t>
            </w:r>
          </w:p>
        </w:tc>
      </w:tr>
      <w:tr w:rsidR="00BE7E2E" w:rsidRPr="007638A5" w14:paraId="43DA6AAF" w14:textId="77777777" w:rsidTr="007A0EBC">
        <w:tc>
          <w:tcPr>
            <w:tcW w:w="6224" w:type="dxa"/>
          </w:tcPr>
          <w:p w14:paraId="1D88EAF7" w14:textId="38EBB6F3" w:rsidR="004D009F" w:rsidRPr="007638A5" w:rsidRDefault="003E2578" w:rsidP="00FB7858">
            <w:pPr>
              <w:pStyle w:val="Tabletext"/>
            </w:pPr>
            <w:hyperlink w:anchor="_Standard_89:_describe" w:history="1">
              <w:r w:rsidR="00EB5CEC">
                <w:rPr>
                  <w:rStyle w:val="Hyperlink"/>
                </w:rPr>
                <w:t>9</w:t>
              </w:r>
              <w:r w:rsidR="004D009F" w:rsidRPr="00F10511">
                <w:rPr>
                  <w:rStyle w:val="Hyperlink"/>
                </w:rPr>
                <w:t xml:space="preserve">: describe the intended </w:t>
              </w:r>
              <w:r w:rsidR="004B11F1">
                <w:rPr>
                  <w:rStyle w:val="Hyperlink"/>
                </w:rPr>
                <w:t>purpose</w:t>
              </w:r>
              <w:r w:rsidR="004D009F" w:rsidRPr="00F10511">
                <w:rPr>
                  <w:rStyle w:val="Hyperlink"/>
                </w:rPr>
                <w:t xml:space="preserve"> and target population</w:t>
              </w:r>
            </w:hyperlink>
          </w:p>
        </w:tc>
        <w:tc>
          <w:tcPr>
            <w:tcW w:w="2793" w:type="dxa"/>
          </w:tcPr>
          <w:p w14:paraId="28AAD994" w14:textId="77777777" w:rsidR="004D009F" w:rsidRPr="007638A5" w:rsidRDefault="004D009F" w:rsidP="00FB7858">
            <w:pPr>
              <w:pStyle w:val="Tabletext"/>
            </w:pPr>
            <w:r w:rsidRPr="007638A5">
              <w:t>A, B and C</w:t>
            </w:r>
          </w:p>
        </w:tc>
      </w:tr>
      <w:tr w:rsidR="00BE7E2E" w:rsidRPr="007638A5" w14:paraId="1E7F1F28" w14:textId="77777777" w:rsidTr="007A0EBC">
        <w:tc>
          <w:tcPr>
            <w:tcW w:w="6224" w:type="dxa"/>
          </w:tcPr>
          <w:p w14:paraId="1CF9C942" w14:textId="1508351E" w:rsidR="004D009F" w:rsidRPr="007638A5" w:rsidRDefault="003E2578" w:rsidP="00FB7858">
            <w:pPr>
              <w:pStyle w:val="Tabletext"/>
            </w:pPr>
            <w:hyperlink w:anchor="_Standard_910:_describe" w:history="1">
              <w:r w:rsidR="00EB5CEC">
                <w:rPr>
                  <w:rStyle w:val="Hyperlink"/>
                </w:rPr>
                <w:t>10</w:t>
              </w:r>
              <w:r w:rsidR="004D009F" w:rsidRPr="00F10511">
                <w:rPr>
                  <w:rStyle w:val="Hyperlink"/>
                </w:rPr>
                <w:t>: describe the current pathway or system process</w:t>
              </w:r>
            </w:hyperlink>
          </w:p>
        </w:tc>
        <w:tc>
          <w:tcPr>
            <w:tcW w:w="2793" w:type="dxa"/>
          </w:tcPr>
          <w:p w14:paraId="35AA993B" w14:textId="77777777" w:rsidR="004D009F" w:rsidRPr="007638A5" w:rsidRDefault="004D009F" w:rsidP="00FB7858">
            <w:pPr>
              <w:pStyle w:val="Tabletext"/>
            </w:pPr>
            <w:r w:rsidRPr="007638A5">
              <w:t>A, B and C</w:t>
            </w:r>
          </w:p>
        </w:tc>
      </w:tr>
      <w:tr w:rsidR="00BE7E2E" w:rsidRPr="007638A5" w14:paraId="3F69A0B9" w14:textId="77777777" w:rsidTr="007A0EBC">
        <w:tc>
          <w:tcPr>
            <w:tcW w:w="6224" w:type="dxa"/>
          </w:tcPr>
          <w:p w14:paraId="67033EA7" w14:textId="65A07505" w:rsidR="004D009F" w:rsidRPr="007638A5" w:rsidRDefault="003E2578" w:rsidP="00FB7858">
            <w:pPr>
              <w:pStyle w:val="Tabletext"/>
            </w:pPr>
            <w:hyperlink w:anchor="_Standard_1011:_describe" w:history="1">
              <w:r w:rsidR="00EB5CEC">
                <w:rPr>
                  <w:rStyle w:val="Hyperlink"/>
                </w:rPr>
                <w:t>11</w:t>
              </w:r>
              <w:r w:rsidR="004D009F" w:rsidRPr="00F10511">
                <w:rPr>
                  <w:rStyle w:val="Hyperlink"/>
                </w:rPr>
                <w:t>: describe the proposed pathway or system process using the DHT</w:t>
              </w:r>
            </w:hyperlink>
          </w:p>
        </w:tc>
        <w:tc>
          <w:tcPr>
            <w:tcW w:w="2793" w:type="dxa"/>
          </w:tcPr>
          <w:p w14:paraId="0287714D" w14:textId="77777777" w:rsidR="004D009F" w:rsidRPr="007638A5" w:rsidRDefault="004D009F" w:rsidP="00FB7858">
            <w:pPr>
              <w:pStyle w:val="Tabletext"/>
            </w:pPr>
            <w:r w:rsidRPr="007638A5">
              <w:t>A, B and C</w:t>
            </w:r>
          </w:p>
        </w:tc>
      </w:tr>
      <w:tr w:rsidR="00BE7E2E" w:rsidRPr="007638A5" w14:paraId="7E99B090" w14:textId="77777777" w:rsidTr="007A0EBC">
        <w:tc>
          <w:tcPr>
            <w:tcW w:w="6224" w:type="dxa"/>
          </w:tcPr>
          <w:p w14:paraId="556B9333" w14:textId="7B08EBCF" w:rsidR="004D009F" w:rsidRPr="007638A5" w:rsidRDefault="003E2578" w:rsidP="00FB7858">
            <w:pPr>
              <w:pStyle w:val="Tabletext"/>
            </w:pPr>
            <w:hyperlink w:anchor="_Standard_1112:_describe" w:history="1">
              <w:r w:rsidR="00EB5CEC">
                <w:rPr>
                  <w:rStyle w:val="Hyperlink"/>
                </w:rPr>
                <w:t>12</w:t>
              </w:r>
              <w:r w:rsidR="004D009F" w:rsidRPr="00F10511">
                <w:rPr>
                  <w:rStyle w:val="Hyperlink"/>
                </w:rPr>
                <w:t>: describe the</w:t>
              </w:r>
              <w:r w:rsidR="00877C38">
                <w:rPr>
                  <w:rStyle w:val="Hyperlink"/>
                </w:rPr>
                <w:t xml:space="preserve"> health and system impacts</w:t>
              </w:r>
              <w:r w:rsidR="004D009F" w:rsidRPr="00F10511">
                <w:rPr>
                  <w:rStyle w:val="Hyperlink"/>
                </w:rPr>
                <w:t xml:space="preserve"> </w:t>
              </w:r>
              <w:r w:rsidR="00877C38">
                <w:rPr>
                  <w:rStyle w:val="Hyperlink"/>
                </w:rPr>
                <w:t xml:space="preserve">and associated </w:t>
              </w:r>
              <w:r w:rsidR="004D009F" w:rsidRPr="00F10511">
                <w:rPr>
                  <w:rStyle w:val="Hyperlink"/>
                </w:rPr>
                <w:t>cost and resource impact</w:t>
              </w:r>
              <w:r w:rsidR="00877C38">
                <w:rPr>
                  <w:rStyle w:val="Hyperlink"/>
                </w:rPr>
                <w:t>s</w:t>
              </w:r>
              <w:r w:rsidR="004D009F" w:rsidRPr="00F10511">
                <w:rPr>
                  <w:rStyle w:val="Hyperlink"/>
                </w:rPr>
                <w:t xml:space="preserve"> compared with standard</w:t>
              </w:r>
              <w:r w:rsidR="00877C38">
                <w:rPr>
                  <w:rStyle w:val="Hyperlink"/>
                </w:rPr>
                <w:t xml:space="preserve"> or </w:t>
              </w:r>
              <w:r w:rsidR="004D009F" w:rsidRPr="00F10511">
                <w:rPr>
                  <w:rStyle w:val="Hyperlink"/>
                </w:rPr>
                <w:t>current care</w:t>
              </w:r>
            </w:hyperlink>
          </w:p>
        </w:tc>
        <w:tc>
          <w:tcPr>
            <w:tcW w:w="2793" w:type="dxa"/>
          </w:tcPr>
          <w:p w14:paraId="1AFB0058" w14:textId="77777777" w:rsidR="004D009F" w:rsidRPr="007638A5" w:rsidRDefault="004D009F" w:rsidP="00FB7858">
            <w:pPr>
              <w:pStyle w:val="Tabletext"/>
            </w:pPr>
            <w:r w:rsidRPr="007638A5">
              <w:t>A, B and C</w:t>
            </w:r>
          </w:p>
        </w:tc>
      </w:tr>
    </w:tbl>
    <w:bookmarkEnd w:id="24"/>
    <w:p w14:paraId="780FEF6E" w14:textId="1F29AEC4" w:rsidR="004D009F" w:rsidRPr="007638A5" w:rsidRDefault="004D009F" w:rsidP="004D009F">
      <w:pPr>
        <w:pStyle w:val="Caption"/>
      </w:pPr>
      <w:r w:rsidRPr="007638A5">
        <w:t xml:space="preserve">Table </w:t>
      </w:r>
      <w:r w:rsidR="00CB7C79">
        <w:t>5</w:t>
      </w:r>
      <w:r w:rsidRPr="007638A5">
        <w:t xml:space="preserve"> Demonstrating performance</w:t>
      </w:r>
    </w:p>
    <w:tbl>
      <w:tblPr>
        <w:tblStyle w:val="TableGrid"/>
        <w:tblW w:w="0" w:type="auto"/>
        <w:tblLook w:val="04A0" w:firstRow="1" w:lastRow="0" w:firstColumn="1" w:lastColumn="0" w:noHBand="0" w:noVBand="1"/>
        <w:tblCaption w:val="Table 5 Demonstrating performance"/>
        <w:tblDescription w:val="The table summarises the 4 demonstrating performance standards, which ensure the technology has the appropriate technical standards for safety and reliability, and meets the performance expectations. There are 2 additional standards for tier C technologies to demonstrate clinical effectiveness."/>
      </w:tblPr>
      <w:tblGrid>
        <w:gridCol w:w="6238"/>
        <w:gridCol w:w="2779"/>
      </w:tblGrid>
      <w:tr w:rsidR="00BE7E2E" w:rsidRPr="007638A5" w14:paraId="5CA5BB02" w14:textId="77777777" w:rsidTr="007A0EBC">
        <w:tc>
          <w:tcPr>
            <w:tcW w:w="6238" w:type="dxa"/>
          </w:tcPr>
          <w:p w14:paraId="16613F48" w14:textId="77777777" w:rsidR="004D009F" w:rsidRPr="007638A5" w:rsidRDefault="004D009F" w:rsidP="00FB7858">
            <w:pPr>
              <w:pStyle w:val="Tableheading"/>
            </w:pPr>
            <w:r w:rsidRPr="007638A5">
              <w:t>Standard</w:t>
            </w:r>
          </w:p>
        </w:tc>
        <w:tc>
          <w:tcPr>
            <w:tcW w:w="2779" w:type="dxa"/>
          </w:tcPr>
          <w:p w14:paraId="2BC56B6C" w14:textId="6E4B6A91" w:rsidR="004D009F" w:rsidRPr="007638A5" w:rsidRDefault="009F754C" w:rsidP="00FB7858">
            <w:pPr>
              <w:pStyle w:val="Tableheading"/>
            </w:pPr>
            <w:r>
              <w:t>D</w:t>
            </w:r>
            <w:r w:rsidRPr="009F754C">
              <w:t xml:space="preserve">igital health technologies </w:t>
            </w:r>
            <w:r>
              <w:t>(</w:t>
            </w:r>
            <w:r w:rsidR="004D009F" w:rsidRPr="007638A5">
              <w:t>DHTs</w:t>
            </w:r>
            <w:r>
              <w:t>)</w:t>
            </w:r>
            <w:r w:rsidR="004D009F" w:rsidRPr="007638A5">
              <w:t xml:space="preserve"> it applies in</w:t>
            </w:r>
          </w:p>
        </w:tc>
      </w:tr>
      <w:tr w:rsidR="00BE7E2E" w:rsidRPr="007638A5" w14:paraId="282EE6E8" w14:textId="77777777" w:rsidTr="007A0EBC">
        <w:tc>
          <w:tcPr>
            <w:tcW w:w="6238" w:type="dxa"/>
          </w:tcPr>
          <w:p w14:paraId="6764806C" w14:textId="557CBA57" w:rsidR="004D009F" w:rsidRPr="007638A5" w:rsidRDefault="003E2578" w:rsidP="00FB7858">
            <w:pPr>
              <w:pStyle w:val="Tabletext"/>
            </w:pPr>
            <w:hyperlink w:anchor="_Standard_1213:_provide" w:history="1">
              <w:r w:rsidR="00EB5CEC">
                <w:rPr>
                  <w:rStyle w:val="Hyperlink"/>
                </w:rPr>
                <w:t>13</w:t>
              </w:r>
              <w:r w:rsidR="004D009F" w:rsidRPr="00F10511">
                <w:rPr>
                  <w:rStyle w:val="Hyperlink"/>
                </w:rPr>
                <w:t>: provide evidence of the DHT’s performance to support its claimed benefits</w:t>
              </w:r>
            </w:hyperlink>
          </w:p>
        </w:tc>
        <w:tc>
          <w:tcPr>
            <w:tcW w:w="2779" w:type="dxa"/>
          </w:tcPr>
          <w:p w14:paraId="159FADCB" w14:textId="216D9B6C" w:rsidR="004D009F" w:rsidRPr="007638A5" w:rsidRDefault="004D009F" w:rsidP="00FB7858">
            <w:pPr>
              <w:pStyle w:val="Tabletext"/>
            </w:pPr>
            <w:r w:rsidRPr="007638A5">
              <w:t>C</w:t>
            </w:r>
          </w:p>
        </w:tc>
      </w:tr>
      <w:tr w:rsidR="00BE7E2E" w:rsidRPr="007638A5" w14:paraId="3FC67604" w14:textId="77777777" w:rsidTr="007A0EBC">
        <w:tc>
          <w:tcPr>
            <w:tcW w:w="6238" w:type="dxa"/>
          </w:tcPr>
          <w:p w14:paraId="06D96290" w14:textId="7A33138D" w:rsidR="004D009F" w:rsidRPr="007638A5" w:rsidRDefault="003E2578" w:rsidP="00FB7858">
            <w:pPr>
              <w:pStyle w:val="Tabletext"/>
            </w:pPr>
            <w:hyperlink w:anchor="_Standard_1314:_additional" w:history="1">
              <w:r w:rsidR="00EB5CEC">
                <w:rPr>
                  <w:rStyle w:val="Hyperlink"/>
                </w:rPr>
                <w:t>14</w:t>
              </w:r>
              <w:r w:rsidR="004D009F" w:rsidRPr="00F10511">
                <w:rPr>
                  <w:rStyle w:val="Hyperlink"/>
                </w:rPr>
                <w:t>: additional evidence for critical conditions or functions</w:t>
              </w:r>
            </w:hyperlink>
          </w:p>
        </w:tc>
        <w:tc>
          <w:tcPr>
            <w:tcW w:w="2779" w:type="dxa"/>
          </w:tcPr>
          <w:p w14:paraId="5CA6DE57" w14:textId="6624452D" w:rsidR="004D009F" w:rsidRPr="007638A5" w:rsidRDefault="004D009F" w:rsidP="00FB7858">
            <w:pPr>
              <w:pStyle w:val="Tabletext"/>
            </w:pPr>
            <w:r w:rsidRPr="007638A5">
              <w:t>C</w:t>
            </w:r>
          </w:p>
        </w:tc>
      </w:tr>
      <w:tr w:rsidR="00BE7E2E" w:rsidRPr="007638A5" w14:paraId="1FD0E3C9" w14:textId="77777777" w:rsidTr="007A0EBC">
        <w:tc>
          <w:tcPr>
            <w:tcW w:w="6238" w:type="dxa"/>
          </w:tcPr>
          <w:p w14:paraId="2BDBA0E5" w14:textId="0E1439C3" w:rsidR="004D009F" w:rsidRPr="007638A5" w:rsidRDefault="003E2578" w:rsidP="004D009F">
            <w:pPr>
              <w:pStyle w:val="Tabletext"/>
            </w:pPr>
            <w:hyperlink w:anchor="_Standard_1415:_show" w:history="1">
              <w:r w:rsidR="00EB5CEC">
                <w:rPr>
                  <w:rStyle w:val="Hyperlink"/>
                </w:rPr>
                <w:t>15</w:t>
              </w:r>
              <w:r w:rsidR="004D009F" w:rsidRPr="00F10511">
                <w:rPr>
                  <w:rStyle w:val="Hyperlink"/>
                </w:rPr>
                <w:t>: show real</w:t>
              </w:r>
              <w:r w:rsidR="00C0478A">
                <w:rPr>
                  <w:rStyle w:val="Hyperlink"/>
                </w:rPr>
                <w:t>-</w:t>
              </w:r>
              <w:r w:rsidR="004D009F" w:rsidRPr="00F10511">
                <w:rPr>
                  <w:rStyle w:val="Hyperlink"/>
                </w:rPr>
                <w:t>world data of performance in practice</w:t>
              </w:r>
            </w:hyperlink>
          </w:p>
        </w:tc>
        <w:tc>
          <w:tcPr>
            <w:tcW w:w="2779" w:type="dxa"/>
          </w:tcPr>
          <w:p w14:paraId="23B84231" w14:textId="6D6B0E95" w:rsidR="004D009F" w:rsidRPr="007638A5" w:rsidRDefault="004D009F" w:rsidP="004D009F">
            <w:pPr>
              <w:pStyle w:val="Tabletext"/>
            </w:pPr>
            <w:r w:rsidRPr="007638A5">
              <w:t>A, B and C</w:t>
            </w:r>
          </w:p>
        </w:tc>
      </w:tr>
      <w:tr w:rsidR="00BE7E2E" w:rsidRPr="007638A5" w14:paraId="5200D3A2" w14:textId="77777777" w:rsidTr="007A0EBC">
        <w:tc>
          <w:tcPr>
            <w:tcW w:w="6238" w:type="dxa"/>
          </w:tcPr>
          <w:p w14:paraId="4033BB4D" w14:textId="6B05303C" w:rsidR="004D009F" w:rsidRPr="007638A5" w:rsidRDefault="003E2578" w:rsidP="004D009F">
            <w:pPr>
              <w:pStyle w:val="Tabletext"/>
            </w:pPr>
            <w:hyperlink w:anchor="_Standard_1516:_the" w:history="1">
              <w:r w:rsidR="004D009F" w:rsidRPr="00C70A8A">
                <w:rPr>
                  <w:rStyle w:val="Hyperlink"/>
                </w:rPr>
                <w:t>1</w:t>
              </w:r>
              <w:r w:rsidR="00EB5CEC">
                <w:rPr>
                  <w:rStyle w:val="Hyperlink"/>
                </w:rPr>
                <w:t>6</w:t>
              </w:r>
              <w:r w:rsidR="004D009F" w:rsidRPr="00C70A8A">
                <w:rPr>
                  <w:rStyle w:val="Hyperlink"/>
                </w:rPr>
                <w:t xml:space="preserve">: the </w:t>
              </w:r>
              <w:r w:rsidR="00AC5EA6" w:rsidRPr="00C70A8A">
                <w:rPr>
                  <w:rStyle w:val="Hyperlink"/>
                </w:rPr>
                <w:t>company</w:t>
              </w:r>
              <w:r w:rsidR="004D009F" w:rsidRPr="00C70A8A">
                <w:rPr>
                  <w:rStyle w:val="Hyperlink"/>
                </w:rPr>
                <w:t xml:space="preserve"> and </w:t>
              </w:r>
              <w:r w:rsidR="00AC5EA6" w:rsidRPr="00C70A8A">
                <w:rPr>
                  <w:rStyle w:val="Hyperlink"/>
                </w:rPr>
                <w:t>evaluator</w:t>
              </w:r>
              <w:r w:rsidR="004D009F" w:rsidRPr="00C70A8A">
                <w:rPr>
                  <w:rStyle w:val="Hyperlink"/>
                </w:rPr>
                <w:t xml:space="preserve"> should agree a plan for measuring changes in the DHT’s performance over time</w:t>
              </w:r>
            </w:hyperlink>
          </w:p>
        </w:tc>
        <w:tc>
          <w:tcPr>
            <w:tcW w:w="2779" w:type="dxa"/>
          </w:tcPr>
          <w:p w14:paraId="1BA55B6E" w14:textId="3B358639" w:rsidR="004D009F" w:rsidRPr="007638A5" w:rsidRDefault="004D009F" w:rsidP="004D009F">
            <w:pPr>
              <w:pStyle w:val="Tabletext"/>
            </w:pPr>
            <w:r w:rsidRPr="007638A5">
              <w:t>A, B and C</w:t>
            </w:r>
          </w:p>
        </w:tc>
      </w:tr>
      <w:tr w:rsidR="00BE7E2E" w:rsidRPr="007638A5" w14:paraId="70298CF5" w14:textId="77777777" w:rsidTr="007A0EBC">
        <w:tc>
          <w:tcPr>
            <w:tcW w:w="6238" w:type="dxa"/>
          </w:tcPr>
          <w:p w14:paraId="155C28A9" w14:textId="75B11D7F" w:rsidR="004D009F" w:rsidRPr="007638A5" w:rsidRDefault="003E2578" w:rsidP="004D009F">
            <w:pPr>
              <w:pStyle w:val="Tabletext"/>
            </w:pPr>
            <w:hyperlink w:anchor="_Information_that_can_16" w:history="1">
              <w:r w:rsidR="004D009F" w:rsidRPr="00C70A8A">
                <w:rPr>
                  <w:rStyle w:val="Hyperlink"/>
                </w:rPr>
                <w:t>17: the DHT should comply with relevant safety and quality standards</w:t>
              </w:r>
            </w:hyperlink>
          </w:p>
        </w:tc>
        <w:tc>
          <w:tcPr>
            <w:tcW w:w="2779" w:type="dxa"/>
          </w:tcPr>
          <w:p w14:paraId="0B90AAD2" w14:textId="77777777" w:rsidR="004D009F" w:rsidRPr="007638A5" w:rsidRDefault="004D009F" w:rsidP="004D009F">
            <w:pPr>
              <w:pStyle w:val="Tabletext"/>
            </w:pPr>
            <w:r w:rsidRPr="007638A5">
              <w:t>A, B and C</w:t>
            </w:r>
          </w:p>
        </w:tc>
      </w:tr>
    </w:tbl>
    <w:p w14:paraId="74213737" w14:textId="468AEA53" w:rsidR="004D009F" w:rsidRPr="007638A5" w:rsidRDefault="004D009F" w:rsidP="004D009F">
      <w:pPr>
        <w:pStyle w:val="Caption"/>
      </w:pPr>
      <w:r w:rsidRPr="007638A5">
        <w:t xml:space="preserve">Table </w:t>
      </w:r>
      <w:r w:rsidR="00CB7C79">
        <w:t>6</w:t>
      </w:r>
      <w:r w:rsidRPr="007638A5">
        <w:t xml:space="preserve"> Delivering value</w:t>
      </w:r>
    </w:p>
    <w:tbl>
      <w:tblPr>
        <w:tblStyle w:val="TableGrid"/>
        <w:tblW w:w="0" w:type="auto"/>
        <w:tblLook w:val="04A0" w:firstRow="1" w:lastRow="0" w:firstColumn="1" w:lastColumn="0" w:noHBand="0" w:noVBand="1"/>
        <w:tblCaption w:val="Table 6 Delivering value"/>
        <w:tblDescription w:val="The table summarises the 4 delivering value standards, which apply across all tiers and show how DHTs should demonstrate their value for money. "/>
      </w:tblPr>
      <w:tblGrid>
        <w:gridCol w:w="6238"/>
        <w:gridCol w:w="2779"/>
      </w:tblGrid>
      <w:tr w:rsidR="00BE7E2E" w:rsidRPr="007638A5" w14:paraId="04BBBF85" w14:textId="77777777" w:rsidTr="007A0EBC">
        <w:tc>
          <w:tcPr>
            <w:tcW w:w="6238" w:type="dxa"/>
          </w:tcPr>
          <w:p w14:paraId="39503297" w14:textId="77777777" w:rsidR="004D009F" w:rsidRPr="007638A5" w:rsidRDefault="004D009F" w:rsidP="00FB7858">
            <w:pPr>
              <w:pStyle w:val="Tableheading"/>
            </w:pPr>
            <w:r w:rsidRPr="007638A5">
              <w:t>Standard</w:t>
            </w:r>
          </w:p>
        </w:tc>
        <w:tc>
          <w:tcPr>
            <w:tcW w:w="2779" w:type="dxa"/>
          </w:tcPr>
          <w:p w14:paraId="54B19D33" w14:textId="330999A8" w:rsidR="004D009F" w:rsidRPr="007638A5" w:rsidRDefault="004D009F" w:rsidP="00FB7858">
            <w:pPr>
              <w:pStyle w:val="Tableheading"/>
            </w:pPr>
            <w:r w:rsidRPr="007638A5">
              <w:t>D</w:t>
            </w:r>
            <w:r w:rsidR="009F754C" w:rsidRPr="009F754C">
              <w:t xml:space="preserve">igital health technologies </w:t>
            </w:r>
            <w:r w:rsidR="009F754C">
              <w:t>(D</w:t>
            </w:r>
            <w:r w:rsidRPr="007638A5">
              <w:t>HTs</w:t>
            </w:r>
            <w:r w:rsidR="009F754C">
              <w:t>)</w:t>
            </w:r>
            <w:r w:rsidRPr="007638A5">
              <w:t xml:space="preserve"> it applies in</w:t>
            </w:r>
          </w:p>
        </w:tc>
      </w:tr>
      <w:tr w:rsidR="00BE7E2E" w:rsidRPr="007638A5" w14:paraId="7F6C9477" w14:textId="77777777" w:rsidTr="007A0EBC">
        <w:tc>
          <w:tcPr>
            <w:tcW w:w="6238" w:type="dxa"/>
          </w:tcPr>
          <w:p w14:paraId="4332E991" w14:textId="498C1B71" w:rsidR="004D009F" w:rsidRPr="007638A5" w:rsidRDefault="003E2578" w:rsidP="00FB7858">
            <w:pPr>
              <w:pStyle w:val="Tabletext"/>
            </w:pPr>
            <w:hyperlink w:anchor="_Information_that_can_17" w:history="1">
              <w:r w:rsidR="004D009F" w:rsidRPr="00C70A8A">
                <w:rPr>
                  <w:rStyle w:val="Hyperlink"/>
                </w:rPr>
                <w:t>18: provide a budget impact analysis</w:t>
              </w:r>
            </w:hyperlink>
          </w:p>
        </w:tc>
        <w:tc>
          <w:tcPr>
            <w:tcW w:w="2779" w:type="dxa"/>
          </w:tcPr>
          <w:p w14:paraId="13372ECE" w14:textId="77777777" w:rsidR="004D009F" w:rsidRPr="007638A5" w:rsidRDefault="004D009F" w:rsidP="00FB7858">
            <w:pPr>
              <w:pStyle w:val="Tabletext"/>
            </w:pPr>
            <w:r w:rsidRPr="007638A5">
              <w:t>A, B and C</w:t>
            </w:r>
          </w:p>
        </w:tc>
      </w:tr>
      <w:tr w:rsidR="00BE7E2E" w:rsidRPr="007638A5" w14:paraId="47A1ECDD" w14:textId="77777777" w:rsidTr="007A0EBC">
        <w:tc>
          <w:tcPr>
            <w:tcW w:w="6238" w:type="dxa"/>
          </w:tcPr>
          <w:p w14:paraId="15CE0327" w14:textId="0844F38F" w:rsidR="004D009F" w:rsidRPr="007638A5" w:rsidRDefault="003E2578" w:rsidP="00FB7858">
            <w:pPr>
              <w:pStyle w:val="Tabletext"/>
            </w:pPr>
            <w:hyperlink w:anchor="_Information_that_can_18" w:history="1">
              <w:r w:rsidR="004D009F" w:rsidRPr="00C70A8A">
                <w:rPr>
                  <w:rStyle w:val="Hyperlink"/>
                </w:rPr>
                <w:t>19: show sensitivity analysis to explore uncertainties</w:t>
              </w:r>
            </w:hyperlink>
          </w:p>
        </w:tc>
        <w:tc>
          <w:tcPr>
            <w:tcW w:w="2779" w:type="dxa"/>
          </w:tcPr>
          <w:p w14:paraId="1B5BAE2F" w14:textId="77777777" w:rsidR="004D009F" w:rsidRPr="007638A5" w:rsidRDefault="004D009F" w:rsidP="00FB7858">
            <w:pPr>
              <w:pStyle w:val="Tabletext"/>
            </w:pPr>
            <w:r w:rsidRPr="007638A5">
              <w:t>A, B and C</w:t>
            </w:r>
          </w:p>
        </w:tc>
      </w:tr>
      <w:tr w:rsidR="00BE7E2E" w:rsidRPr="007638A5" w14:paraId="41D0EDCF" w14:textId="77777777" w:rsidTr="007A0EBC">
        <w:tc>
          <w:tcPr>
            <w:tcW w:w="6238" w:type="dxa"/>
          </w:tcPr>
          <w:p w14:paraId="6051C496" w14:textId="38F8B8D8" w:rsidR="004D009F" w:rsidRPr="007638A5" w:rsidRDefault="003E2578" w:rsidP="00FB7858">
            <w:pPr>
              <w:pStyle w:val="Tabletext"/>
            </w:pPr>
            <w:hyperlink w:anchor="_Information_that_can_19" w:history="1">
              <w:r w:rsidR="004D009F" w:rsidRPr="00C70A8A">
                <w:rPr>
                  <w:rStyle w:val="Hyperlink"/>
                </w:rPr>
                <w:t>20: for DHTs with higher financial risk: provide a cost-comparison or cost</w:t>
              </w:r>
              <w:r w:rsidR="00DB42A8">
                <w:rPr>
                  <w:rStyle w:val="Hyperlink"/>
                </w:rPr>
                <w:t>–</w:t>
              </w:r>
              <w:r w:rsidR="004D009F" w:rsidRPr="00C70A8A">
                <w:rPr>
                  <w:rStyle w:val="Hyperlink"/>
                </w:rPr>
                <w:t>utility analysis</w:t>
              </w:r>
            </w:hyperlink>
          </w:p>
        </w:tc>
        <w:tc>
          <w:tcPr>
            <w:tcW w:w="2779" w:type="dxa"/>
          </w:tcPr>
          <w:p w14:paraId="3BEF900D" w14:textId="77777777" w:rsidR="004D009F" w:rsidRPr="007638A5" w:rsidRDefault="004D009F" w:rsidP="00FB7858">
            <w:pPr>
              <w:pStyle w:val="Tabletext"/>
            </w:pPr>
            <w:r w:rsidRPr="007638A5">
              <w:t>A, B and C</w:t>
            </w:r>
          </w:p>
        </w:tc>
      </w:tr>
      <w:tr w:rsidR="00BE7E2E" w:rsidRPr="007638A5" w14:paraId="2E4DFCBC" w14:textId="77777777" w:rsidTr="007A0EBC">
        <w:tc>
          <w:tcPr>
            <w:tcW w:w="6238" w:type="dxa"/>
          </w:tcPr>
          <w:p w14:paraId="7B4CF359" w14:textId="4BE5D136" w:rsidR="004D009F" w:rsidRPr="007638A5" w:rsidRDefault="003E2578" w:rsidP="00FB7858">
            <w:pPr>
              <w:pStyle w:val="Tabletext"/>
            </w:pPr>
            <w:hyperlink w:anchor="_Information_that_can_20" w:history="1">
              <w:r w:rsidR="004D009F" w:rsidRPr="00C70A8A">
                <w:rPr>
                  <w:rStyle w:val="Hyperlink"/>
                </w:rPr>
                <w:t>21: agree a data collection plan to show value</w:t>
              </w:r>
            </w:hyperlink>
          </w:p>
        </w:tc>
        <w:tc>
          <w:tcPr>
            <w:tcW w:w="2779" w:type="dxa"/>
          </w:tcPr>
          <w:p w14:paraId="52209225" w14:textId="77777777" w:rsidR="004D009F" w:rsidRPr="007638A5" w:rsidRDefault="004D009F" w:rsidP="00FB7858">
            <w:pPr>
              <w:pStyle w:val="Tabletext"/>
            </w:pPr>
            <w:r w:rsidRPr="007638A5">
              <w:t>A, B and C</w:t>
            </w:r>
          </w:p>
        </w:tc>
      </w:tr>
    </w:tbl>
    <w:p w14:paraId="68153273" w14:textId="5A4C47B8" w:rsidR="004D009F" w:rsidRPr="007638A5" w:rsidRDefault="004D009F" w:rsidP="004D009F">
      <w:pPr>
        <w:pStyle w:val="Caption"/>
      </w:pPr>
      <w:r w:rsidRPr="007638A5">
        <w:t xml:space="preserve">Table </w:t>
      </w:r>
      <w:r w:rsidR="00CB7C79">
        <w:t>7</w:t>
      </w:r>
      <w:r w:rsidRPr="007638A5">
        <w:t xml:space="preserve"> Deployment considerations</w:t>
      </w:r>
    </w:p>
    <w:tbl>
      <w:tblPr>
        <w:tblStyle w:val="TableGrid"/>
        <w:tblW w:w="0" w:type="auto"/>
        <w:tblLook w:val="04A0" w:firstRow="1" w:lastRow="0" w:firstColumn="1" w:lastColumn="0" w:noHBand="0" w:noVBand="1"/>
        <w:tblCaption w:val="Table 7 Deployment considerations"/>
        <w:tblDescription w:val="The table summarises the 3 deployment considerations standards, which apply across all tiers."/>
      </w:tblPr>
      <w:tblGrid>
        <w:gridCol w:w="6238"/>
        <w:gridCol w:w="2779"/>
      </w:tblGrid>
      <w:tr w:rsidR="00BE7E2E" w:rsidRPr="007638A5" w14:paraId="5ED22F5E" w14:textId="77777777" w:rsidTr="007A0EBC">
        <w:tc>
          <w:tcPr>
            <w:tcW w:w="6238" w:type="dxa"/>
          </w:tcPr>
          <w:p w14:paraId="103D62C3" w14:textId="77777777" w:rsidR="004D009F" w:rsidRPr="007638A5" w:rsidRDefault="004D009F" w:rsidP="00FB7858">
            <w:pPr>
              <w:pStyle w:val="Tableheading"/>
            </w:pPr>
            <w:r w:rsidRPr="007638A5">
              <w:t>Standard</w:t>
            </w:r>
          </w:p>
        </w:tc>
        <w:tc>
          <w:tcPr>
            <w:tcW w:w="2779" w:type="dxa"/>
          </w:tcPr>
          <w:p w14:paraId="1E02856B" w14:textId="174C5F1D" w:rsidR="004D009F" w:rsidRPr="007638A5" w:rsidRDefault="009F754C" w:rsidP="00FB7858">
            <w:pPr>
              <w:pStyle w:val="Tableheading"/>
            </w:pPr>
            <w:r>
              <w:t>D</w:t>
            </w:r>
            <w:r w:rsidRPr="009F754C">
              <w:t xml:space="preserve">igital health technologies </w:t>
            </w:r>
            <w:r>
              <w:t>(</w:t>
            </w:r>
            <w:r w:rsidR="004D009F" w:rsidRPr="007638A5">
              <w:t>DHTs</w:t>
            </w:r>
            <w:r>
              <w:t>)</w:t>
            </w:r>
            <w:r w:rsidR="004D009F" w:rsidRPr="007638A5">
              <w:t xml:space="preserve"> it applies in</w:t>
            </w:r>
          </w:p>
        </w:tc>
      </w:tr>
      <w:tr w:rsidR="00BE7E2E" w:rsidRPr="007638A5" w14:paraId="64D59AAB" w14:textId="77777777" w:rsidTr="007A0EBC">
        <w:tc>
          <w:tcPr>
            <w:tcW w:w="6238" w:type="dxa"/>
          </w:tcPr>
          <w:p w14:paraId="631BD8C8" w14:textId="23508294" w:rsidR="004D009F" w:rsidRPr="007638A5" w:rsidRDefault="003E2578" w:rsidP="00FB7858">
            <w:pPr>
              <w:pStyle w:val="Tabletext"/>
            </w:pPr>
            <w:hyperlink w:anchor="_Information_that_can_21" w:history="1">
              <w:r w:rsidR="004D009F" w:rsidRPr="00C70A8A">
                <w:rPr>
                  <w:rStyle w:val="Hyperlink"/>
                </w:rPr>
                <w:t>22: ensure transparency about requirements for deployment</w:t>
              </w:r>
            </w:hyperlink>
          </w:p>
        </w:tc>
        <w:tc>
          <w:tcPr>
            <w:tcW w:w="2779" w:type="dxa"/>
          </w:tcPr>
          <w:p w14:paraId="3E5860C0" w14:textId="77777777" w:rsidR="004D009F" w:rsidRPr="007638A5" w:rsidRDefault="004D009F" w:rsidP="00FB7858">
            <w:pPr>
              <w:pStyle w:val="Tabletext"/>
            </w:pPr>
            <w:r w:rsidRPr="007638A5">
              <w:t>A, B and C</w:t>
            </w:r>
          </w:p>
        </w:tc>
      </w:tr>
      <w:tr w:rsidR="00BE7E2E" w:rsidRPr="007638A5" w14:paraId="4143DEB0" w14:textId="77777777" w:rsidTr="007A0EBC">
        <w:tc>
          <w:tcPr>
            <w:tcW w:w="6238" w:type="dxa"/>
          </w:tcPr>
          <w:p w14:paraId="7798A71D" w14:textId="327C7309" w:rsidR="004D009F" w:rsidRPr="007638A5" w:rsidRDefault="003E2578" w:rsidP="00FB7858">
            <w:pPr>
              <w:pStyle w:val="Tabletext"/>
            </w:pPr>
            <w:hyperlink w:anchor="_Information_that_can_22" w:history="1">
              <w:r w:rsidR="004D009F" w:rsidRPr="00C70A8A">
                <w:rPr>
                  <w:rStyle w:val="Hyperlink"/>
                </w:rPr>
                <w:t xml:space="preserve">23: describe plans for communication, </w:t>
              </w:r>
              <w:proofErr w:type="gramStart"/>
              <w:r w:rsidR="004D009F" w:rsidRPr="00C70A8A">
                <w:rPr>
                  <w:rStyle w:val="Hyperlink"/>
                </w:rPr>
                <w:t>consent</w:t>
              </w:r>
              <w:proofErr w:type="gramEnd"/>
              <w:r w:rsidR="004D009F" w:rsidRPr="00C70A8A">
                <w:rPr>
                  <w:rStyle w:val="Hyperlink"/>
                </w:rPr>
                <w:t xml:space="preserve"> and training processes in place to allow the DHT to be understood by end </w:t>
              </w:r>
              <w:r w:rsidR="00AC5EA6" w:rsidRPr="00C70A8A">
                <w:rPr>
                  <w:rStyle w:val="Hyperlink"/>
                </w:rPr>
                <w:t>service user</w:t>
              </w:r>
              <w:r w:rsidR="004D009F" w:rsidRPr="00C70A8A">
                <w:rPr>
                  <w:rStyle w:val="Hyperlink"/>
                </w:rPr>
                <w:t>s</w:t>
              </w:r>
            </w:hyperlink>
          </w:p>
        </w:tc>
        <w:tc>
          <w:tcPr>
            <w:tcW w:w="2779" w:type="dxa"/>
          </w:tcPr>
          <w:p w14:paraId="364FF44E" w14:textId="77777777" w:rsidR="004D009F" w:rsidRPr="007638A5" w:rsidRDefault="004D009F" w:rsidP="00FB7858">
            <w:pPr>
              <w:pStyle w:val="Tabletext"/>
            </w:pPr>
            <w:r w:rsidRPr="007638A5">
              <w:t>A, B and C</w:t>
            </w:r>
          </w:p>
        </w:tc>
      </w:tr>
      <w:tr w:rsidR="00BE7E2E" w:rsidRPr="007638A5" w14:paraId="0D4E963D" w14:textId="77777777" w:rsidTr="007A0EBC">
        <w:tc>
          <w:tcPr>
            <w:tcW w:w="6238" w:type="dxa"/>
          </w:tcPr>
          <w:p w14:paraId="4BC6AFA9" w14:textId="387F9264" w:rsidR="004D009F" w:rsidRPr="007638A5" w:rsidRDefault="003E2578" w:rsidP="00FB7858">
            <w:pPr>
              <w:pStyle w:val="Tabletext"/>
            </w:pPr>
            <w:hyperlink w:anchor="_Information_that_can_23" w:history="1">
              <w:r w:rsidR="004D009F" w:rsidRPr="00C70A8A">
                <w:rPr>
                  <w:rStyle w:val="Hyperlink"/>
                </w:rPr>
                <w:t>24: ensure appropriate scalability</w:t>
              </w:r>
            </w:hyperlink>
          </w:p>
        </w:tc>
        <w:tc>
          <w:tcPr>
            <w:tcW w:w="2779" w:type="dxa"/>
          </w:tcPr>
          <w:p w14:paraId="204DD66A" w14:textId="77777777" w:rsidR="004D009F" w:rsidRPr="007638A5" w:rsidRDefault="004D009F" w:rsidP="00FB7858">
            <w:pPr>
              <w:pStyle w:val="Tabletext"/>
            </w:pPr>
            <w:r w:rsidRPr="007638A5">
              <w:t>A, B and C</w:t>
            </w:r>
          </w:p>
        </w:tc>
      </w:tr>
    </w:tbl>
    <w:p w14:paraId="440BC5F1" w14:textId="77777777" w:rsidR="00820B48" w:rsidRPr="007638A5" w:rsidRDefault="00820B48" w:rsidP="0047040D">
      <w:pPr>
        <w:pStyle w:val="NICEnormal"/>
      </w:pPr>
      <w:r w:rsidRPr="007638A5">
        <w:br w:type="page"/>
      </w:r>
    </w:p>
    <w:p w14:paraId="1155D2A2" w14:textId="63C98D4D" w:rsidR="00050678" w:rsidRPr="00050678" w:rsidRDefault="00050678" w:rsidP="00050678">
      <w:pPr>
        <w:pStyle w:val="Heading2"/>
      </w:pPr>
      <w:bookmarkStart w:id="25" w:name="_Design_factors"/>
      <w:bookmarkStart w:id="26" w:name="_How_to_meet"/>
      <w:bookmarkEnd w:id="25"/>
      <w:bookmarkEnd w:id="26"/>
      <w:r w:rsidRPr="00050678">
        <w:t>How to meet the standards</w:t>
      </w:r>
    </w:p>
    <w:p w14:paraId="17F0E895" w14:textId="27876C63" w:rsidR="008D436B" w:rsidRPr="007638A5" w:rsidRDefault="008D436B" w:rsidP="00F935BF">
      <w:pPr>
        <w:pStyle w:val="Heading2"/>
      </w:pPr>
      <w:r w:rsidRPr="007638A5">
        <w:t>Design factors</w:t>
      </w:r>
    </w:p>
    <w:p w14:paraId="34555ABF" w14:textId="2AAB298A" w:rsidR="00AF37B3" w:rsidRPr="007638A5" w:rsidRDefault="008D436B" w:rsidP="005E31F3">
      <w:pPr>
        <w:pStyle w:val="Heading3"/>
        <w:numPr>
          <w:ilvl w:val="0"/>
          <w:numId w:val="14"/>
        </w:numPr>
      </w:pPr>
      <w:bookmarkStart w:id="27" w:name="_Standard_1:_incorporate"/>
      <w:bookmarkEnd w:id="27"/>
      <w:r w:rsidRPr="007638A5">
        <w:rPr>
          <w:lang w:eastAsia="en-US"/>
        </w:rPr>
        <w:t xml:space="preserve">Standard 1: incorporate </w:t>
      </w:r>
      <w:r w:rsidR="00AC5EA6">
        <w:rPr>
          <w:lang w:eastAsia="en-US"/>
        </w:rPr>
        <w:t>service user</w:t>
      </w:r>
      <w:r w:rsidRPr="007638A5">
        <w:rPr>
          <w:lang w:eastAsia="en-US"/>
        </w:rPr>
        <w:t xml:space="preserve"> acceptability in the design of the DHT</w:t>
      </w:r>
      <w:bookmarkStart w:id="28" w:name="_Tier_1_Evidence"/>
      <w:bookmarkStart w:id="29" w:name="_Table_4_Evidence"/>
      <w:bookmarkStart w:id="30" w:name="_Table_6_Evidence"/>
      <w:bookmarkEnd w:id="28"/>
      <w:bookmarkEnd w:id="29"/>
      <w:bookmarkEnd w:id="30"/>
    </w:p>
    <w:p w14:paraId="57E330AC" w14:textId="469CEA33" w:rsidR="008D436B" w:rsidRPr="007638A5" w:rsidRDefault="008D436B" w:rsidP="008449B3">
      <w:pPr>
        <w:pStyle w:val="NICEnormal"/>
        <w:ind w:left="720"/>
        <w:rPr>
          <w:lang w:eastAsia="en-GB"/>
        </w:rPr>
      </w:pPr>
      <w:r w:rsidRPr="007638A5">
        <w:rPr>
          <w:lang w:eastAsia="en-GB"/>
        </w:rPr>
        <w:t xml:space="preserve">Applies to DHTs in A, B and C. </w:t>
      </w:r>
    </w:p>
    <w:p w14:paraId="0CD18CCF" w14:textId="4246BB75" w:rsidR="008D436B" w:rsidRPr="007638A5" w:rsidRDefault="008D436B" w:rsidP="008449B3">
      <w:pPr>
        <w:pStyle w:val="Heading4"/>
        <w:ind w:left="720"/>
      </w:pPr>
      <w:bookmarkStart w:id="31" w:name="_Information_that_can"/>
      <w:bookmarkStart w:id="32" w:name="_Hlk98156574"/>
      <w:bookmarkEnd w:id="31"/>
      <w:r w:rsidRPr="007638A5">
        <w:t xml:space="preserve">Information that can be used to meet </w:t>
      </w:r>
      <w:r w:rsidR="008449B3">
        <w:t>standard 1</w:t>
      </w:r>
    </w:p>
    <w:bookmarkEnd w:id="32"/>
    <w:p w14:paraId="4F160717" w14:textId="045FE0DD" w:rsidR="008D436B" w:rsidRPr="007638A5" w:rsidRDefault="008D436B" w:rsidP="008449B3">
      <w:pPr>
        <w:pStyle w:val="NICEnormal"/>
        <w:ind w:left="720"/>
        <w:rPr>
          <w:lang w:eastAsia="en-GB"/>
        </w:rPr>
      </w:pPr>
      <w:r w:rsidRPr="007638A5">
        <w:rPr>
          <w:lang w:eastAsia="en-GB"/>
        </w:rPr>
        <w:t xml:space="preserve">Describe how representatives from intended user groups were involved in the design, development or testing of the DHT. </w:t>
      </w:r>
      <w:r w:rsidR="00220418">
        <w:rPr>
          <w:lang w:eastAsia="en-GB"/>
        </w:rPr>
        <w:t xml:space="preserve">Depending on who is intended to operate the DHT, the intended users may include patient groups and service users, or health and care professionals. </w:t>
      </w:r>
      <w:r w:rsidRPr="007638A5">
        <w:rPr>
          <w:lang w:eastAsia="en-GB"/>
        </w:rPr>
        <w:t>Describe how user satisfaction was appraised and provide any available data to show user satisfaction with the DHT.</w:t>
      </w:r>
      <w:r w:rsidR="004D70A4">
        <w:rPr>
          <w:lang w:eastAsia="en-GB"/>
        </w:rPr>
        <w:t xml:space="preserve"> DHTs that have passed section D1 of the </w:t>
      </w:r>
      <w:hyperlink r:id="rId24" w:history="1">
        <w:r w:rsidR="004D70A4" w:rsidRPr="004D70A4">
          <w:rPr>
            <w:rStyle w:val="Hyperlink"/>
            <w:lang w:eastAsia="en-GB"/>
          </w:rPr>
          <w:t>NHS digital technology assessment criteria</w:t>
        </w:r>
      </w:hyperlink>
      <w:r w:rsidR="004D70A4">
        <w:rPr>
          <w:lang w:eastAsia="en-GB"/>
        </w:rPr>
        <w:t xml:space="preserve"> may be considered to have already demonstrated compliance with the ESF design factor standard 1. </w:t>
      </w:r>
      <w:hyperlink r:id="rId25" w:history="1">
        <w:r w:rsidR="00533CFE" w:rsidRPr="00533CFE">
          <w:rPr>
            <w:rStyle w:val="Hyperlink"/>
            <w:lang w:eastAsia="en-GB"/>
          </w:rPr>
          <w:t xml:space="preserve">ISO’s standard </w:t>
        </w:r>
        <w:r w:rsidR="00DB3CE9" w:rsidRPr="00DB3CE9">
          <w:rPr>
            <w:rStyle w:val="Hyperlink"/>
            <w:lang w:eastAsia="en-GB"/>
          </w:rPr>
          <w:t>IEC 62366-1</w:t>
        </w:r>
      </w:hyperlink>
      <w:r w:rsidR="00DB3CE9">
        <w:rPr>
          <w:lang w:eastAsia="en-GB"/>
        </w:rPr>
        <w:t xml:space="preserve"> </w:t>
      </w:r>
      <w:r w:rsidR="00994CF3">
        <w:rPr>
          <w:lang w:eastAsia="en-GB"/>
        </w:rPr>
        <w:t>also covers</w:t>
      </w:r>
      <w:r w:rsidR="00DB3CE9">
        <w:rPr>
          <w:lang w:eastAsia="en-GB"/>
        </w:rPr>
        <w:t xml:space="preserve"> usability engineering for medical devices.</w:t>
      </w:r>
    </w:p>
    <w:p w14:paraId="28A70368" w14:textId="7D88F9D4" w:rsidR="008D436B" w:rsidRPr="007638A5" w:rsidRDefault="008D436B" w:rsidP="005E31F3">
      <w:pPr>
        <w:pStyle w:val="Heading3"/>
        <w:numPr>
          <w:ilvl w:val="0"/>
          <w:numId w:val="14"/>
        </w:numPr>
      </w:pPr>
      <w:bookmarkStart w:id="33" w:name="_Standard_2:_consider"/>
      <w:bookmarkEnd w:id="33"/>
      <w:r w:rsidRPr="007638A5">
        <w:t>Standard 2: consider environmental sustainability</w:t>
      </w:r>
    </w:p>
    <w:p w14:paraId="0AE52877" w14:textId="3736CAFC" w:rsidR="008D436B" w:rsidRPr="007638A5" w:rsidRDefault="008D436B" w:rsidP="008449B3">
      <w:pPr>
        <w:pStyle w:val="NICEnormal"/>
        <w:ind w:left="720"/>
        <w:rPr>
          <w:lang w:eastAsia="en-GB"/>
        </w:rPr>
      </w:pPr>
      <w:r w:rsidRPr="007638A5">
        <w:rPr>
          <w:lang w:eastAsia="en-GB"/>
        </w:rPr>
        <w:t>Applies to DHTs in A, B and C.</w:t>
      </w:r>
    </w:p>
    <w:p w14:paraId="5B3234FB" w14:textId="5FDB8D4B" w:rsidR="008D436B" w:rsidRPr="007638A5" w:rsidRDefault="008D436B" w:rsidP="008449B3">
      <w:pPr>
        <w:pStyle w:val="Heading4"/>
        <w:ind w:left="720"/>
      </w:pPr>
      <w:bookmarkStart w:id="34" w:name="_Information_that_can_1"/>
      <w:bookmarkEnd w:id="34"/>
      <w:r w:rsidRPr="007638A5">
        <w:t>Information that can be used to meet standard</w:t>
      </w:r>
      <w:r w:rsidR="008449B3">
        <w:t xml:space="preserve"> 2</w:t>
      </w:r>
    </w:p>
    <w:p w14:paraId="58BABC54" w14:textId="4879B06F" w:rsidR="008D436B" w:rsidRPr="007638A5" w:rsidRDefault="000740A0" w:rsidP="008449B3">
      <w:pPr>
        <w:pStyle w:val="NICEnormal"/>
        <w:ind w:left="720"/>
        <w:rPr>
          <w:lang w:eastAsia="en-GB"/>
        </w:rPr>
      </w:pPr>
      <w:r w:rsidRPr="00AF6E34">
        <w:rPr>
          <w:lang w:eastAsia="en-GB"/>
        </w:rPr>
        <w:t xml:space="preserve">The </w:t>
      </w:r>
      <w:hyperlink r:id="rId26" w:history="1">
        <w:r w:rsidRPr="00533CFE">
          <w:rPr>
            <w:rStyle w:val="Hyperlink"/>
            <w:lang w:eastAsia="en-GB"/>
          </w:rPr>
          <w:t>NHS has set ambitions to have a net zero carbon footprint by 2040</w:t>
        </w:r>
      </w:hyperlink>
      <w:r w:rsidRPr="00AF6E34">
        <w:rPr>
          <w:lang w:eastAsia="en-GB"/>
        </w:rPr>
        <w:t xml:space="preserve">. </w:t>
      </w:r>
      <w:r w:rsidR="008D436B" w:rsidRPr="007638A5">
        <w:rPr>
          <w:lang w:eastAsia="en-GB"/>
        </w:rPr>
        <w:t xml:space="preserve">Environmental sustainability should be factored into the design of the DHT. The </w:t>
      </w:r>
      <w:r w:rsidR="00D10E7D">
        <w:rPr>
          <w:lang w:eastAsia="en-GB"/>
        </w:rPr>
        <w:t xml:space="preserve">company </w:t>
      </w:r>
      <w:r w:rsidR="008D436B" w:rsidRPr="007638A5">
        <w:rPr>
          <w:lang w:eastAsia="en-GB"/>
        </w:rPr>
        <w:t xml:space="preserve">should provide a narrative description of any expected </w:t>
      </w:r>
      <w:r w:rsidR="00123968" w:rsidRPr="00AF6E34">
        <w:rPr>
          <w:lang w:eastAsia="en-GB"/>
        </w:rPr>
        <w:t xml:space="preserve">environmental </w:t>
      </w:r>
      <w:r w:rsidR="008D436B" w:rsidRPr="007638A5">
        <w:rPr>
          <w:lang w:eastAsia="en-GB"/>
        </w:rPr>
        <w:t xml:space="preserve">sustainability benefits </w:t>
      </w:r>
      <w:r w:rsidRPr="00AF6E34">
        <w:rPr>
          <w:lang w:eastAsia="en-GB"/>
        </w:rPr>
        <w:t>and negative impacts</w:t>
      </w:r>
      <w:r w:rsidR="008D436B" w:rsidRPr="00AF6E34">
        <w:rPr>
          <w:lang w:eastAsia="en-GB"/>
        </w:rPr>
        <w:t xml:space="preserve"> </w:t>
      </w:r>
      <w:r w:rsidR="008D436B" w:rsidRPr="007638A5">
        <w:rPr>
          <w:lang w:eastAsia="en-GB"/>
        </w:rPr>
        <w:t xml:space="preserve">from using the DHT. </w:t>
      </w:r>
      <w:r w:rsidRPr="00AF6E34">
        <w:rPr>
          <w:lang w:eastAsia="en-GB"/>
        </w:rPr>
        <w:t xml:space="preserve">This should focus on impacts on greenhouse gas emissions, in line with the </w:t>
      </w:r>
      <w:hyperlink r:id="rId27" w:history="1">
        <w:r w:rsidRPr="00AF6E34">
          <w:rPr>
            <w:rStyle w:val="Hyperlink"/>
            <w:lang w:eastAsia="en-GB"/>
          </w:rPr>
          <w:t>NHS carbon footprint and carbon footprint plus</w:t>
        </w:r>
      </w:hyperlink>
      <w:r w:rsidRPr="00AF6E34">
        <w:rPr>
          <w:lang w:eastAsia="en-GB"/>
        </w:rPr>
        <w:t>.</w:t>
      </w:r>
    </w:p>
    <w:p w14:paraId="5C557549" w14:textId="0339B767" w:rsidR="002C2331" w:rsidRDefault="002C2331" w:rsidP="002C2331">
      <w:pPr>
        <w:pStyle w:val="Heading3"/>
        <w:numPr>
          <w:ilvl w:val="0"/>
          <w:numId w:val="14"/>
        </w:numPr>
      </w:pPr>
      <w:bookmarkStart w:id="35" w:name="_Standard_3:_consider"/>
      <w:bookmarkEnd w:id="35"/>
      <w:r w:rsidRPr="007638A5">
        <w:t>Standard 3: consider health and care inequalities and bias mitigation</w:t>
      </w:r>
    </w:p>
    <w:p w14:paraId="6674AA51" w14:textId="77777777" w:rsidR="002C2331" w:rsidRPr="007638A5" w:rsidRDefault="002C2331" w:rsidP="002C2331">
      <w:pPr>
        <w:pStyle w:val="NICEnormal"/>
        <w:ind w:left="720"/>
        <w:rPr>
          <w:lang w:eastAsia="en-GB"/>
        </w:rPr>
      </w:pPr>
      <w:r w:rsidRPr="007638A5">
        <w:rPr>
          <w:lang w:eastAsia="en-GB"/>
        </w:rPr>
        <w:t>Applies to DHTs in A, B and C.</w:t>
      </w:r>
    </w:p>
    <w:p w14:paraId="24B6DFB6" w14:textId="28443AA8" w:rsidR="002C2331" w:rsidRPr="007638A5" w:rsidRDefault="002C2331" w:rsidP="002C2331">
      <w:pPr>
        <w:pStyle w:val="Heading4"/>
        <w:ind w:left="720"/>
      </w:pPr>
      <w:r w:rsidRPr="007638A5">
        <w:t>Information that can be used to meet standard</w:t>
      </w:r>
      <w:r>
        <w:t xml:space="preserve"> 3</w:t>
      </w:r>
    </w:p>
    <w:p w14:paraId="16B10D61" w14:textId="4E69C18A" w:rsidR="002C2331" w:rsidRPr="007638A5" w:rsidRDefault="002C2331" w:rsidP="002C2331">
      <w:pPr>
        <w:pStyle w:val="NICEnormal"/>
        <w:ind w:left="720"/>
      </w:pPr>
      <w:r w:rsidRPr="007638A5">
        <w:t>Health inequalities considerations should be factored into the design of the DHT. Describe how this has been approached and how this has been included in the design of the DHT.</w:t>
      </w:r>
      <w:r w:rsidR="00D90F19">
        <w:t xml:space="preserve"> Describe any specific positive impacts and of any efforts to reduce negative impacts on health inequalities.</w:t>
      </w:r>
    </w:p>
    <w:p w14:paraId="215B07EC" w14:textId="77777777" w:rsidR="002C2331" w:rsidRPr="007638A5" w:rsidRDefault="002C2331" w:rsidP="002C2331">
      <w:pPr>
        <w:pStyle w:val="NICEnormal"/>
        <w:ind w:left="720"/>
      </w:pPr>
      <w:r w:rsidRPr="007638A5">
        <w:t>If the DHT has a claim of addressing a health or care inequality</w:t>
      </w:r>
      <w:r>
        <w:t>,</w:t>
      </w:r>
      <w:r w:rsidRPr="007638A5">
        <w:t xml:space="preserve"> it should also show evidence that the DHT contributes to:</w:t>
      </w:r>
    </w:p>
    <w:p w14:paraId="3C4BBFBA" w14:textId="2B1C50A9" w:rsidR="002C2331" w:rsidRPr="007638A5" w:rsidRDefault="002C2331" w:rsidP="002C2331">
      <w:pPr>
        <w:pStyle w:val="Bulletleft1"/>
        <w:numPr>
          <w:ilvl w:val="0"/>
          <w:numId w:val="17"/>
        </w:numPr>
      </w:pPr>
      <w:r w:rsidRPr="007638A5">
        <w:t>challenging health inequalities in the UK health and social care system, or improving access to care among hard-to-reach populations</w:t>
      </w:r>
    </w:p>
    <w:p w14:paraId="410717FD" w14:textId="77777777" w:rsidR="002C2331" w:rsidRPr="007638A5" w:rsidRDefault="002C2331" w:rsidP="002C2331">
      <w:pPr>
        <w:pStyle w:val="Bulletleft1last"/>
        <w:numPr>
          <w:ilvl w:val="0"/>
          <w:numId w:val="17"/>
        </w:numPr>
      </w:pPr>
      <w:r w:rsidRPr="007638A5">
        <w:t xml:space="preserve">promoting equality, eliminating unlawful discrimination, and fostering good relations between people with protected characteristics (as described in the </w:t>
      </w:r>
      <w:hyperlink r:id="rId28" w:history="1">
        <w:r w:rsidRPr="006B4A33">
          <w:t>Equalities Act 2010</w:t>
        </w:r>
      </w:hyperlink>
      <w:r w:rsidRPr="007638A5">
        <w:t>) and others.</w:t>
      </w:r>
    </w:p>
    <w:p w14:paraId="07F9B5E6" w14:textId="5794A7A7" w:rsidR="00FF57A9" w:rsidRPr="00AF6E34" w:rsidRDefault="00FF57A9" w:rsidP="002C2331">
      <w:pPr>
        <w:pStyle w:val="NICEnormal"/>
        <w:ind w:left="720"/>
      </w:pPr>
      <w:r w:rsidRPr="00AF6E34">
        <w:t>For early deployment (ED) DHTs being used in evidence</w:t>
      </w:r>
      <w:r w:rsidR="00533CFE">
        <w:t>-</w:t>
      </w:r>
      <w:r w:rsidRPr="00AF6E34">
        <w:t xml:space="preserve">generation programmes, plans for collecting evidence to support the health inequalities claims should be provided. </w:t>
      </w:r>
    </w:p>
    <w:p w14:paraId="48302172" w14:textId="77777777" w:rsidR="002C2331" w:rsidRPr="007638A5" w:rsidRDefault="003E2578" w:rsidP="002C2331">
      <w:pPr>
        <w:pStyle w:val="NICEnormal"/>
        <w:ind w:left="720"/>
      </w:pPr>
      <w:hyperlink r:id="rId29" w:history="1">
        <w:r w:rsidR="002C2331" w:rsidRPr="006F5848">
          <w:rPr>
            <w:rStyle w:val="Hyperlink"/>
          </w:rPr>
          <w:t>NHS Digital’s guide on digital inclusion for health and social care</w:t>
        </w:r>
      </w:hyperlink>
      <w:r w:rsidR="002C2331" w:rsidRPr="007638A5">
        <w:t xml:space="preserve"> provides information for </w:t>
      </w:r>
      <w:r w:rsidR="002C2331">
        <w:t>companies</w:t>
      </w:r>
      <w:r w:rsidR="002C2331" w:rsidRPr="007638A5">
        <w:t xml:space="preserve"> and providers to understand digital inclusion and steps that can be taken to evaluate and support digital inclusion.</w:t>
      </w:r>
    </w:p>
    <w:p w14:paraId="0BC7F35F" w14:textId="63A05A7E" w:rsidR="002C2331" w:rsidRPr="007638A5" w:rsidRDefault="002C2331" w:rsidP="002C2331">
      <w:pPr>
        <w:pStyle w:val="NICEnormal"/>
        <w:ind w:left="720"/>
      </w:pPr>
      <w:r w:rsidRPr="007638A5">
        <w:rPr>
          <w:lang w:eastAsia="en-GB"/>
        </w:rPr>
        <w:t xml:space="preserve">For </w:t>
      </w:r>
      <w:proofErr w:type="gramStart"/>
      <w:r w:rsidRPr="007638A5">
        <w:rPr>
          <w:lang w:eastAsia="en-GB"/>
        </w:rPr>
        <w:t>data</w:t>
      </w:r>
      <w:r>
        <w:rPr>
          <w:lang w:eastAsia="en-GB"/>
        </w:rPr>
        <w:t>-</w:t>
      </w:r>
      <w:r w:rsidRPr="007638A5">
        <w:rPr>
          <w:lang w:eastAsia="en-GB"/>
        </w:rPr>
        <w:t>driven</w:t>
      </w:r>
      <w:proofErr w:type="gramEnd"/>
      <w:r w:rsidRPr="007638A5">
        <w:rPr>
          <w:lang w:eastAsia="en-GB"/>
        </w:rPr>
        <w:t xml:space="preserve"> DHTs (including those with </w:t>
      </w:r>
      <w:r>
        <w:rPr>
          <w:lang w:eastAsia="en-GB"/>
        </w:rPr>
        <w:t>artificial intelligence</w:t>
      </w:r>
      <w:r w:rsidRPr="007638A5">
        <w:rPr>
          <w:lang w:eastAsia="en-GB"/>
        </w:rPr>
        <w:t>), the</w:t>
      </w:r>
      <w:r w:rsidRPr="00D10E7D">
        <w:t xml:space="preserve"> </w:t>
      </w:r>
      <w:r w:rsidRPr="00D10E7D">
        <w:rPr>
          <w:lang w:eastAsia="en-GB"/>
        </w:rPr>
        <w:t>company</w:t>
      </w:r>
      <w:r w:rsidRPr="00D10E7D" w:rsidDel="00D10E7D">
        <w:rPr>
          <w:lang w:eastAsia="en-GB"/>
        </w:rPr>
        <w:t xml:space="preserve"> </w:t>
      </w:r>
      <w:r w:rsidRPr="007638A5">
        <w:rPr>
          <w:lang w:eastAsia="en-GB"/>
        </w:rPr>
        <w:t xml:space="preserve">should describe any actions taken in the design of the DHT to mitigate against algorithmic bias that could lead to unequal impacts between different groups of </w:t>
      </w:r>
      <w:r>
        <w:rPr>
          <w:lang w:eastAsia="en-GB"/>
        </w:rPr>
        <w:t>service user</w:t>
      </w:r>
      <w:r w:rsidRPr="007638A5">
        <w:rPr>
          <w:lang w:eastAsia="en-GB"/>
        </w:rPr>
        <w:t>s</w:t>
      </w:r>
      <w:r>
        <w:rPr>
          <w:lang w:eastAsia="en-GB"/>
        </w:rPr>
        <w:t xml:space="preserve"> or </w:t>
      </w:r>
      <w:r w:rsidR="005C7CA3">
        <w:rPr>
          <w:lang w:eastAsia="en-GB"/>
        </w:rPr>
        <w:t>people</w:t>
      </w:r>
      <w:r w:rsidRPr="007638A5">
        <w:rPr>
          <w:lang w:eastAsia="en-GB"/>
        </w:rPr>
        <w:t>.</w:t>
      </w:r>
    </w:p>
    <w:p w14:paraId="1897C87D" w14:textId="47A6EFF5" w:rsidR="00FC6BA7" w:rsidRPr="007638A5" w:rsidRDefault="004C27E4" w:rsidP="005E31F3">
      <w:pPr>
        <w:pStyle w:val="Heading3"/>
        <w:numPr>
          <w:ilvl w:val="0"/>
          <w:numId w:val="14"/>
        </w:numPr>
      </w:pPr>
      <w:bookmarkStart w:id="36" w:name="_Standard_3:_embed"/>
      <w:bookmarkStart w:id="37" w:name="_Standard_34:_embed"/>
      <w:bookmarkEnd w:id="36"/>
      <w:bookmarkEnd w:id="37"/>
      <w:r w:rsidRPr="007638A5">
        <w:t xml:space="preserve">Standard </w:t>
      </w:r>
      <w:r w:rsidR="002C2331">
        <w:t>4</w:t>
      </w:r>
      <w:r w:rsidRPr="007638A5">
        <w:t>:</w:t>
      </w:r>
      <w:r w:rsidR="00FC6BA7" w:rsidRPr="007638A5">
        <w:t xml:space="preserve"> embed good data practices in the design of the DHT</w:t>
      </w:r>
    </w:p>
    <w:p w14:paraId="5F1EB1CD" w14:textId="51C165D8" w:rsidR="00FC6BA7" w:rsidRPr="007638A5" w:rsidRDefault="00630110" w:rsidP="00BF6F8F">
      <w:pPr>
        <w:pStyle w:val="NICEnormal"/>
        <w:ind w:left="720"/>
        <w:rPr>
          <w:lang w:eastAsia="en-GB"/>
        </w:rPr>
      </w:pPr>
      <w:r w:rsidRPr="007638A5">
        <w:rPr>
          <w:lang w:eastAsia="en-GB"/>
        </w:rPr>
        <w:t>Applies to DHTs in A, B and C.</w:t>
      </w:r>
    </w:p>
    <w:p w14:paraId="61A71E58" w14:textId="71194924" w:rsidR="00630110" w:rsidRPr="007638A5" w:rsidRDefault="00630110" w:rsidP="00BF6F8F">
      <w:pPr>
        <w:pStyle w:val="Heading4"/>
        <w:ind w:left="720"/>
      </w:pPr>
      <w:bookmarkStart w:id="38" w:name="_Information_that_can_2"/>
      <w:bookmarkEnd w:id="38"/>
      <w:r w:rsidRPr="007638A5">
        <w:t>Information that can be used to meet standard</w:t>
      </w:r>
      <w:r w:rsidR="00EC1D67">
        <w:t xml:space="preserve"> </w:t>
      </w:r>
      <w:r w:rsidR="002C2331">
        <w:t>4</w:t>
      </w:r>
    </w:p>
    <w:p w14:paraId="42C1EFF2" w14:textId="5F272173" w:rsidR="0018710F" w:rsidRDefault="0018710F" w:rsidP="0018710F">
      <w:pPr>
        <w:pStyle w:val="NICEnormal"/>
        <w:ind w:left="720"/>
      </w:pPr>
      <w:r>
        <w:t xml:space="preserve">When developing data-driven DHTs, companies should follow </w:t>
      </w:r>
      <w:r w:rsidRPr="007638A5">
        <w:t xml:space="preserve">the </w:t>
      </w:r>
      <w:hyperlink r:id="rId30" w:history="1">
        <w:r w:rsidRPr="00C70A8A">
          <w:rPr>
            <w:rStyle w:val="Hyperlink"/>
          </w:rPr>
          <w:t>Medicines and Healthcare products Regulatory Agency (MHRA) guiding principles on good machine learning practice for medical device development</w:t>
        </w:r>
      </w:hyperlink>
      <w:r w:rsidR="00552E98" w:rsidRPr="00AF6E34">
        <w:rPr>
          <w:lang w:eastAsia="en-GB"/>
        </w:rPr>
        <w:t>.</w:t>
      </w:r>
    </w:p>
    <w:p w14:paraId="1ABF77BA" w14:textId="3C181091" w:rsidR="000436D4" w:rsidRPr="007638A5" w:rsidRDefault="000436D4" w:rsidP="002C7454">
      <w:pPr>
        <w:pStyle w:val="NICEnormal"/>
        <w:ind w:left="720"/>
      </w:pPr>
      <w:r w:rsidRPr="007638A5">
        <w:t>Any datasets used to train</w:t>
      </w:r>
      <w:r w:rsidR="008F1FA0">
        <w:t xml:space="preserve">, </w:t>
      </w:r>
      <w:proofErr w:type="gramStart"/>
      <w:r w:rsidR="008F1FA0">
        <w:t>validate</w:t>
      </w:r>
      <w:proofErr w:type="gramEnd"/>
      <w:r w:rsidRPr="007638A5">
        <w:t xml:space="preserve"> or develop the DHT should be of a high quality</w:t>
      </w:r>
      <w:r w:rsidR="00BA706A">
        <w:t xml:space="preserve">. </w:t>
      </w:r>
      <w:r w:rsidR="00BF6F8F">
        <w:t>One indicator of quality is that t</w:t>
      </w:r>
      <w:r w:rsidR="00BA706A">
        <w:t xml:space="preserve">he </w:t>
      </w:r>
      <w:r w:rsidRPr="007638A5">
        <w:t xml:space="preserve">following information can be provided by the </w:t>
      </w:r>
      <w:r w:rsidR="00D10E7D">
        <w:t>company</w:t>
      </w:r>
      <w:r w:rsidRPr="007638A5">
        <w:t>:</w:t>
      </w:r>
    </w:p>
    <w:p w14:paraId="3E60D83D" w14:textId="2866AEE7" w:rsidR="000436D4" w:rsidRPr="007638A5" w:rsidRDefault="006B3C1A" w:rsidP="005E31F3">
      <w:pPr>
        <w:pStyle w:val="Bulletleft1"/>
        <w:numPr>
          <w:ilvl w:val="0"/>
          <w:numId w:val="17"/>
        </w:numPr>
      </w:pPr>
      <w:r>
        <w:t>w</w:t>
      </w:r>
      <w:r w:rsidR="000436D4" w:rsidRPr="007638A5">
        <w:t xml:space="preserve">hich datasets (title, source, version) were used </w:t>
      </w:r>
      <w:r>
        <w:t xml:space="preserve">for training and validating the </w:t>
      </w:r>
      <w:proofErr w:type="gramStart"/>
      <w:r>
        <w:t>DHT</w:t>
      </w:r>
      <w:proofErr w:type="gramEnd"/>
    </w:p>
    <w:p w14:paraId="24546272" w14:textId="5D11E074" w:rsidR="000436D4" w:rsidRPr="007638A5" w:rsidRDefault="00BA706A" w:rsidP="005E31F3">
      <w:pPr>
        <w:pStyle w:val="Bulletleft1"/>
        <w:numPr>
          <w:ilvl w:val="0"/>
          <w:numId w:val="17"/>
        </w:numPr>
      </w:pPr>
      <w:r>
        <w:t>t</w:t>
      </w:r>
      <w:r w:rsidR="000436D4" w:rsidRPr="007638A5">
        <w:t>he size of the training</w:t>
      </w:r>
      <w:r w:rsidR="006B3C1A">
        <w:t xml:space="preserve"> and validation</w:t>
      </w:r>
      <w:r w:rsidR="000436D4" w:rsidRPr="007638A5">
        <w:t xml:space="preserve"> datasets</w:t>
      </w:r>
    </w:p>
    <w:p w14:paraId="5451716D" w14:textId="2DE3A5A4" w:rsidR="000436D4" w:rsidRPr="007638A5" w:rsidRDefault="00BA706A" w:rsidP="005E31F3">
      <w:pPr>
        <w:pStyle w:val="Bulletleft1"/>
        <w:numPr>
          <w:ilvl w:val="0"/>
          <w:numId w:val="17"/>
        </w:numPr>
      </w:pPr>
      <w:r>
        <w:t>w</w:t>
      </w:r>
      <w:r w:rsidR="000436D4" w:rsidRPr="007638A5">
        <w:t>hy the</w:t>
      </w:r>
      <w:r w:rsidR="006B3C1A">
        <w:t>se</w:t>
      </w:r>
      <w:r w:rsidR="000436D4" w:rsidRPr="007638A5">
        <w:t xml:space="preserve"> datasets were collected, and by what means (manual input, through monitors or other devices)</w:t>
      </w:r>
    </w:p>
    <w:p w14:paraId="53793D69" w14:textId="3634B93E" w:rsidR="000436D4" w:rsidRPr="007638A5" w:rsidRDefault="00BA706A" w:rsidP="005E31F3">
      <w:pPr>
        <w:pStyle w:val="Bulletleft1"/>
        <w:numPr>
          <w:ilvl w:val="0"/>
          <w:numId w:val="17"/>
        </w:numPr>
      </w:pPr>
      <w:r>
        <w:t>d</w:t>
      </w:r>
      <w:r w:rsidR="000436D4" w:rsidRPr="007638A5">
        <w:t>iversity (demographics, age, clinically relevant subgroups) in the</w:t>
      </w:r>
      <w:r w:rsidR="006B3C1A">
        <w:t>se</w:t>
      </w:r>
      <w:r w:rsidR="000436D4" w:rsidRPr="007638A5">
        <w:t xml:space="preserve"> datasets used and how this reflects the intended target population</w:t>
      </w:r>
      <w:r w:rsidR="006B3C1A">
        <w:t xml:space="preserve"> for the DHT</w:t>
      </w:r>
    </w:p>
    <w:p w14:paraId="36416379" w14:textId="753FA719" w:rsidR="006B3C1A" w:rsidRPr="007638A5" w:rsidRDefault="007720F9" w:rsidP="005E31F3">
      <w:pPr>
        <w:pStyle w:val="Bulletleft1"/>
        <w:numPr>
          <w:ilvl w:val="0"/>
          <w:numId w:val="17"/>
        </w:numPr>
      </w:pPr>
      <w:r>
        <w:t>a</w:t>
      </w:r>
      <w:r w:rsidR="006B3C1A">
        <w:t>ny synthetic training or validation data should be highlighted</w:t>
      </w:r>
      <w:r w:rsidR="00552E98">
        <w:t>; s</w:t>
      </w:r>
      <w:r w:rsidR="006B3C1A">
        <w:t xml:space="preserve">ynthetic data should be supported by real data </w:t>
      </w:r>
    </w:p>
    <w:p w14:paraId="6965A4A1" w14:textId="00692142" w:rsidR="007720F9" w:rsidRDefault="007720F9" w:rsidP="007720F9">
      <w:pPr>
        <w:pStyle w:val="Bulletleft1"/>
        <w:numPr>
          <w:ilvl w:val="0"/>
          <w:numId w:val="17"/>
        </w:numPr>
      </w:pPr>
      <w:r>
        <w:t>h</w:t>
      </w:r>
      <w:r w:rsidRPr="007638A5">
        <w:t>ow any decision thresholds have been set and how these align to current best practice</w:t>
      </w:r>
      <w:r w:rsidR="00552E98">
        <w:t>.</w:t>
      </w:r>
    </w:p>
    <w:p w14:paraId="0295D887" w14:textId="66F86CB9" w:rsidR="004C27E4" w:rsidRPr="007638A5" w:rsidRDefault="004C27E4" w:rsidP="005E31F3">
      <w:pPr>
        <w:pStyle w:val="Heading3"/>
        <w:numPr>
          <w:ilvl w:val="0"/>
          <w:numId w:val="14"/>
        </w:numPr>
      </w:pPr>
      <w:bookmarkStart w:id="39" w:name="_Standard_4:_define"/>
      <w:bookmarkStart w:id="40" w:name="_Standard_45:_define"/>
      <w:bookmarkEnd w:id="39"/>
      <w:bookmarkEnd w:id="40"/>
      <w:r w:rsidRPr="007638A5">
        <w:t xml:space="preserve">Standard </w:t>
      </w:r>
      <w:r w:rsidR="002C2331">
        <w:t>5</w:t>
      </w:r>
      <w:r w:rsidRPr="007638A5">
        <w:t>:</w:t>
      </w:r>
      <w:r w:rsidR="00FC6BA7" w:rsidRPr="007638A5">
        <w:t xml:space="preserve"> define the level of professional oversight</w:t>
      </w:r>
    </w:p>
    <w:p w14:paraId="27263150" w14:textId="16258991" w:rsidR="00FC6BA7" w:rsidRPr="007638A5" w:rsidRDefault="00630110" w:rsidP="00C70A8A">
      <w:pPr>
        <w:pStyle w:val="NICEnormal"/>
        <w:ind w:left="720"/>
        <w:rPr>
          <w:lang w:eastAsia="en-GB"/>
        </w:rPr>
      </w:pPr>
      <w:r w:rsidRPr="007638A5">
        <w:rPr>
          <w:lang w:eastAsia="en-GB"/>
        </w:rPr>
        <w:t>Applies to DHTs in A, B and C</w:t>
      </w:r>
      <w:bookmarkStart w:id="41" w:name="_Hlk100242897"/>
      <w:r w:rsidRPr="007638A5">
        <w:rPr>
          <w:lang w:eastAsia="en-GB"/>
        </w:rPr>
        <w:t>.</w:t>
      </w:r>
      <w:bookmarkEnd w:id="41"/>
    </w:p>
    <w:p w14:paraId="555CD030" w14:textId="636FE06D" w:rsidR="00630110" w:rsidRPr="007638A5" w:rsidRDefault="00630110" w:rsidP="00C70A8A">
      <w:pPr>
        <w:pStyle w:val="Heading4"/>
        <w:ind w:left="720"/>
      </w:pPr>
      <w:bookmarkStart w:id="42" w:name="_Information_that_can_3"/>
      <w:bookmarkEnd w:id="42"/>
      <w:r w:rsidRPr="007638A5">
        <w:t>Information that can be used to meet standard</w:t>
      </w:r>
      <w:r w:rsidR="00EC1D67">
        <w:t xml:space="preserve"> </w:t>
      </w:r>
      <w:r w:rsidR="002C2331">
        <w:t>5</w:t>
      </w:r>
    </w:p>
    <w:p w14:paraId="15044019" w14:textId="1EDAD906" w:rsidR="00A70099" w:rsidRPr="007638A5" w:rsidRDefault="00A70099" w:rsidP="00C70A8A">
      <w:pPr>
        <w:pStyle w:val="NICEnormal"/>
        <w:ind w:left="720"/>
      </w:pPr>
      <w:r w:rsidRPr="007638A5">
        <w:t xml:space="preserve">The </w:t>
      </w:r>
      <w:r w:rsidR="00D10E7D" w:rsidRPr="00D10E7D">
        <w:t>company</w:t>
      </w:r>
      <w:r w:rsidR="00D10E7D" w:rsidRPr="00D10E7D" w:rsidDel="00D10E7D">
        <w:t xml:space="preserve"> </w:t>
      </w:r>
      <w:r w:rsidRPr="007638A5">
        <w:t>must clearly describe the level of professional oversight when the DHT is used in practice.</w:t>
      </w:r>
    </w:p>
    <w:p w14:paraId="5F1BB148" w14:textId="77777777" w:rsidR="00A70099" w:rsidRPr="007638A5" w:rsidRDefault="00A70099" w:rsidP="00C70A8A">
      <w:pPr>
        <w:pStyle w:val="NICEnormal"/>
        <w:ind w:left="720"/>
      </w:pPr>
      <w:r w:rsidRPr="007638A5">
        <w:t xml:space="preserve">Professional oversight may include (among others): </w:t>
      </w:r>
    </w:p>
    <w:p w14:paraId="446D0BD2" w14:textId="4CC47E9D" w:rsidR="00A70099" w:rsidRPr="007638A5" w:rsidRDefault="00A70099" w:rsidP="005E31F3">
      <w:pPr>
        <w:pStyle w:val="Bulletleft1"/>
        <w:numPr>
          <w:ilvl w:val="0"/>
          <w:numId w:val="17"/>
        </w:numPr>
      </w:pPr>
      <w:r w:rsidRPr="007638A5">
        <w:t>expert review of each decision</w:t>
      </w:r>
      <w:r w:rsidR="00123943">
        <w:t xml:space="preserve"> or </w:t>
      </w:r>
      <w:r w:rsidRPr="007638A5">
        <w:t>output on a case-by-case basis</w:t>
      </w:r>
    </w:p>
    <w:p w14:paraId="266B4A03" w14:textId="77777777" w:rsidR="00A70099" w:rsidRPr="007638A5" w:rsidRDefault="00A70099" w:rsidP="005E31F3">
      <w:pPr>
        <w:pStyle w:val="Bulletleft1"/>
        <w:numPr>
          <w:ilvl w:val="0"/>
          <w:numId w:val="17"/>
        </w:numPr>
      </w:pPr>
      <w:r w:rsidRPr="007638A5">
        <w:t>periodic overarching review of the trends in the decision outputs of the DHT, to ensure that the decisions are aligned to, or calibrated against, best practice</w:t>
      </w:r>
    </w:p>
    <w:p w14:paraId="7D031CF1" w14:textId="1F6D6013" w:rsidR="00A70099" w:rsidRPr="007638A5" w:rsidRDefault="00123943" w:rsidP="005E31F3">
      <w:pPr>
        <w:pStyle w:val="Bulletleft1last"/>
        <w:numPr>
          <w:ilvl w:val="0"/>
          <w:numId w:val="17"/>
        </w:numPr>
      </w:pPr>
      <w:r>
        <w:t>m</w:t>
      </w:r>
      <w:r w:rsidR="00A70099" w:rsidRPr="007638A5">
        <w:t>onitoring for occasions where the DHT’s decision output has been overridden by professionals</w:t>
      </w:r>
      <w:r>
        <w:t>.</w:t>
      </w:r>
    </w:p>
    <w:p w14:paraId="29633B07" w14:textId="37550287" w:rsidR="00630110" w:rsidRPr="007638A5" w:rsidRDefault="00A70099" w:rsidP="00C70A8A">
      <w:pPr>
        <w:pStyle w:val="NICEnormal"/>
        <w:ind w:left="720"/>
        <w:rPr>
          <w:lang w:eastAsia="en-GB"/>
        </w:rPr>
      </w:pPr>
      <w:r w:rsidRPr="007638A5">
        <w:rPr>
          <w:lang w:eastAsia="en-GB"/>
        </w:rPr>
        <w:t>The level of professional oversight should be proportionate to the level of risk associated with failure of the DHT to perform as expected. Higher levels of professional oversight may be needed when the consequence</w:t>
      </w:r>
      <w:r w:rsidR="00123943">
        <w:rPr>
          <w:lang w:eastAsia="en-GB"/>
        </w:rPr>
        <w:t>s</w:t>
      </w:r>
      <w:r w:rsidRPr="007638A5">
        <w:rPr>
          <w:lang w:eastAsia="en-GB"/>
        </w:rPr>
        <w:t xml:space="preserve"> of the DHT’s failure are serious or critical.</w:t>
      </w:r>
    </w:p>
    <w:p w14:paraId="0111E639" w14:textId="5601B307" w:rsidR="004C27E4" w:rsidRPr="007638A5" w:rsidRDefault="004C27E4" w:rsidP="005E31F3">
      <w:pPr>
        <w:pStyle w:val="Heading3"/>
        <w:numPr>
          <w:ilvl w:val="0"/>
          <w:numId w:val="14"/>
        </w:numPr>
      </w:pPr>
      <w:bookmarkStart w:id="43" w:name="_Standard_5:_show"/>
      <w:bookmarkStart w:id="44" w:name="_Standard_56:_show"/>
      <w:bookmarkEnd w:id="43"/>
      <w:bookmarkEnd w:id="44"/>
      <w:r w:rsidRPr="007638A5">
        <w:t xml:space="preserve">Standard </w:t>
      </w:r>
      <w:r w:rsidR="002C2331">
        <w:t>6</w:t>
      </w:r>
      <w:r w:rsidRPr="007638A5">
        <w:t>:</w:t>
      </w:r>
      <w:r w:rsidR="00FC6BA7" w:rsidRPr="007638A5">
        <w:t xml:space="preserve"> show processes for creating reliable health information</w:t>
      </w:r>
    </w:p>
    <w:p w14:paraId="01169643" w14:textId="58A9BCD0" w:rsidR="00FC6BA7" w:rsidRPr="007638A5" w:rsidRDefault="00630110" w:rsidP="00C70A8A">
      <w:pPr>
        <w:pStyle w:val="NICEnormal"/>
        <w:ind w:left="720"/>
        <w:rPr>
          <w:lang w:eastAsia="en-GB"/>
        </w:rPr>
      </w:pPr>
      <w:r w:rsidRPr="007638A5">
        <w:rPr>
          <w:lang w:eastAsia="en-GB"/>
        </w:rPr>
        <w:t>Applies to DHTs in B and C.</w:t>
      </w:r>
    </w:p>
    <w:p w14:paraId="72E8AC24" w14:textId="1A3DEFEF" w:rsidR="00630110" w:rsidRPr="007638A5" w:rsidRDefault="00630110" w:rsidP="00C70A8A">
      <w:pPr>
        <w:pStyle w:val="Heading4"/>
        <w:ind w:left="720"/>
      </w:pPr>
      <w:bookmarkStart w:id="45" w:name="_Information_that_can_4"/>
      <w:bookmarkEnd w:id="45"/>
      <w:r w:rsidRPr="007638A5">
        <w:t>Information that can be used to meet standard</w:t>
      </w:r>
      <w:r w:rsidR="00EC1D67">
        <w:t xml:space="preserve"> </w:t>
      </w:r>
      <w:r w:rsidR="002C2331">
        <w:t>6</w:t>
      </w:r>
    </w:p>
    <w:p w14:paraId="4D174869" w14:textId="77777777" w:rsidR="00A70099" w:rsidRPr="007638A5" w:rsidRDefault="00A70099" w:rsidP="00C70A8A">
      <w:pPr>
        <w:pStyle w:val="NICEnormal"/>
        <w:ind w:left="720"/>
      </w:pPr>
      <w:r w:rsidRPr="007638A5">
        <w:t>Be able to show that processes are in place to maintain any health information provided by the DHT:</w:t>
      </w:r>
    </w:p>
    <w:p w14:paraId="1141C900" w14:textId="77777777" w:rsidR="00A70099" w:rsidRPr="007638A5" w:rsidRDefault="00A70099" w:rsidP="005E31F3">
      <w:pPr>
        <w:pStyle w:val="Bulletleft1"/>
        <w:numPr>
          <w:ilvl w:val="0"/>
          <w:numId w:val="17"/>
        </w:numPr>
      </w:pPr>
      <w:r w:rsidRPr="007638A5">
        <w:t xml:space="preserve">valid (aligned to best available sources, such as NICE guidance, relevant professional </w:t>
      </w:r>
      <w:proofErr w:type="gramStart"/>
      <w:r w:rsidRPr="007638A5">
        <w:t>organisations</w:t>
      </w:r>
      <w:proofErr w:type="gramEnd"/>
      <w:r w:rsidRPr="007638A5">
        <w:t xml:space="preserve"> or recognised UK patient organisations, and appropriate for the target population)</w:t>
      </w:r>
    </w:p>
    <w:p w14:paraId="23C8CB36" w14:textId="77777777" w:rsidR="00A70099" w:rsidRPr="007638A5" w:rsidRDefault="00A70099" w:rsidP="005E31F3">
      <w:pPr>
        <w:pStyle w:val="Bulletleft1"/>
        <w:numPr>
          <w:ilvl w:val="0"/>
          <w:numId w:val="17"/>
        </w:numPr>
      </w:pPr>
      <w:r w:rsidRPr="007638A5">
        <w:t>accurate</w:t>
      </w:r>
    </w:p>
    <w:p w14:paraId="692891A9" w14:textId="77777777" w:rsidR="00A70099" w:rsidRPr="007638A5" w:rsidRDefault="00A70099" w:rsidP="005E31F3">
      <w:pPr>
        <w:pStyle w:val="Bulletleft1"/>
        <w:numPr>
          <w:ilvl w:val="0"/>
          <w:numId w:val="17"/>
        </w:numPr>
      </w:pPr>
      <w:r w:rsidRPr="007638A5">
        <w:t>reviewed and updated by relevant experts at defined intervals, such as every year</w:t>
      </w:r>
    </w:p>
    <w:p w14:paraId="054CD9B2" w14:textId="5468DF54" w:rsidR="00630110" w:rsidRPr="007638A5" w:rsidRDefault="00A70099" w:rsidP="005E31F3">
      <w:pPr>
        <w:pStyle w:val="Bulletleft1last"/>
        <w:numPr>
          <w:ilvl w:val="0"/>
          <w:numId w:val="17"/>
        </w:numPr>
      </w:pPr>
      <w:r w:rsidRPr="007638A5">
        <w:t>sufficiently comprehensive.</w:t>
      </w:r>
    </w:p>
    <w:p w14:paraId="7E1F2E2B" w14:textId="552A55E0" w:rsidR="00FC6BA7" w:rsidRPr="007638A5" w:rsidRDefault="004C27E4" w:rsidP="005E31F3">
      <w:pPr>
        <w:pStyle w:val="Heading3"/>
        <w:numPr>
          <w:ilvl w:val="0"/>
          <w:numId w:val="14"/>
        </w:numPr>
      </w:pPr>
      <w:bookmarkStart w:id="46" w:name="_Standard_6:_show"/>
      <w:bookmarkStart w:id="47" w:name="_Standard_67:_show"/>
      <w:bookmarkEnd w:id="46"/>
      <w:bookmarkEnd w:id="47"/>
      <w:r w:rsidRPr="007638A5">
        <w:t xml:space="preserve">Standard </w:t>
      </w:r>
      <w:r w:rsidR="002C2331">
        <w:t>7</w:t>
      </w:r>
      <w:r w:rsidRPr="007638A5">
        <w:t>:</w:t>
      </w:r>
      <w:r w:rsidR="00FC6BA7" w:rsidRPr="007638A5">
        <w:t xml:space="preserve"> show that the DHT is credible with UK professionals</w:t>
      </w:r>
    </w:p>
    <w:p w14:paraId="5E5E2A26" w14:textId="71F709FC" w:rsidR="00FC6BA7" w:rsidRPr="007638A5" w:rsidRDefault="00630110" w:rsidP="00847669">
      <w:pPr>
        <w:pStyle w:val="NICEnormal"/>
        <w:ind w:left="720"/>
        <w:rPr>
          <w:lang w:eastAsia="en-GB"/>
        </w:rPr>
      </w:pPr>
      <w:r w:rsidRPr="007638A5">
        <w:rPr>
          <w:lang w:eastAsia="en-GB"/>
        </w:rPr>
        <w:t>Applies to DHTs in B and C.</w:t>
      </w:r>
    </w:p>
    <w:p w14:paraId="76B496CE" w14:textId="542D591A" w:rsidR="00630110" w:rsidRPr="007638A5" w:rsidRDefault="00630110" w:rsidP="00847669">
      <w:pPr>
        <w:pStyle w:val="Heading4"/>
        <w:ind w:left="720"/>
      </w:pPr>
      <w:bookmarkStart w:id="48" w:name="_Information_that_can_5"/>
      <w:bookmarkEnd w:id="48"/>
      <w:r w:rsidRPr="007638A5">
        <w:t>Information that can be used to meet standard</w:t>
      </w:r>
      <w:r w:rsidR="00EC1D67">
        <w:t xml:space="preserve"> </w:t>
      </w:r>
      <w:r w:rsidR="002C2331">
        <w:t>7</w:t>
      </w:r>
    </w:p>
    <w:p w14:paraId="6CE436B1" w14:textId="420B6F73" w:rsidR="00595C11" w:rsidRPr="007638A5" w:rsidRDefault="00595C11" w:rsidP="00847669">
      <w:pPr>
        <w:pStyle w:val="NICEnormal"/>
        <w:ind w:left="720"/>
      </w:pPr>
      <w:r w:rsidRPr="007638A5">
        <w:t xml:space="preserve">Be able to show that </w:t>
      </w:r>
      <w:r w:rsidR="00665E06">
        <w:t xml:space="preserve">the </w:t>
      </w:r>
      <w:r w:rsidRPr="007638A5">
        <w:t>DHT has a plausible mode of action that is viewed as useful and relevant by professional experts or expert groups in the relevant field.</w:t>
      </w:r>
      <w:r w:rsidR="00665E06">
        <w:t xml:space="preserve"> </w:t>
      </w:r>
      <w:r w:rsidRPr="007638A5">
        <w:t>This could include providing evidence to support key factors such as the choice of behaviour change techniques used in the DHT.</w:t>
      </w:r>
    </w:p>
    <w:p w14:paraId="546F5361" w14:textId="4BBF719B" w:rsidR="00630110" w:rsidRPr="007638A5" w:rsidRDefault="00595C11" w:rsidP="00847669">
      <w:pPr>
        <w:pStyle w:val="NICEnormal"/>
        <w:ind w:left="720"/>
        <w:rPr>
          <w:lang w:eastAsia="en-GB"/>
        </w:rPr>
      </w:pPr>
      <w:r w:rsidRPr="007638A5">
        <w:rPr>
          <w:lang w:eastAsia="en-GB"/>
        </w:rPr>
        <w:t xml:space="preserve">Show that relevant clinical or social care professionals working in the UK health and social care system have either been involved in designing, </w:t>
      </w:r>
      <w:proofErr w:type="gramStart"/>
      <w:r w:rsidRPr="007638A5">
        <w:rPr>
          <w:lang w:eastAsia="en-GB"/>
        </w:rPr>
        <w:t>developing</w:t>
      </w:r>
      <w:proofErr w:type="gramEnd"/>
      <w:r w:rsidRPr="007638A5">
        <w:rPr>
          <w:lang w:eastAsia="en-GB"/>
        </w:rPr>
        <w:t xml:space="preserve"> or testing the DHT, or given their support to the UK deployment of the DHT.</w:t>
      </w:r>
    </w:p>
    <w:p w14:paraId="54162813" w14:textId="6AC01568" w:rsidR="004C27E4" w:rsidRPr="007638A5" w:rsidRDefault="004C27E4" w:rsidP="005E31F3">
      <w:pPr>
        <w:pStyle w:val="Heading3"/>
        <w:numPr>
          <w:ilvl w:val="0"/>
          <w:numId w:val="14"/>
        </w:numPr>
      </w:pPr>
      <w:bookmarkStart w:id="49" w:name="_Standard_7:_provide"/>
      <w:bookmarkStart w:id="50" w:name="_Standard_78:_provide"/>
      <w:bookmarkEnd w:id="49"/>
      <w:bookmarkEnd w:id="50"/>
      <w:r w:rsidRPr="007638A5">
        <w:t xml:space="preserve">Standard </w:t>
      </w:r>
      <w:r w:rsidR="002C2331">
        <w:t>8</w:t>
      </w:r>
      <w:r w:rsidRPr="007638A5">
        <w:t>:</w:t>
      </w:r>
      <w:r w:rsidR="00FC6BA7" w:rsidRPr="007638A5">
        <w:t xml:space="preserve"> provide safeguarding assurances for DHTs where users </w:t>
      </w:r>
      <w:proofErr w:type="gramStart"/>
      <w:r w:rsidR="00FC6BA7" w:rsidRPr="007638A5">
        <w:t>are considered to be</w:t>
      </w:r>
      <w:proofErr w:type="gramEnd"/>
      <w:r w:rsidR="00FC6BA7" w:rsidRPr="007638A5">
        <w:t xml:space="preserve"> in vulnerable groups, or where peer-</w:t>
      </w:r>
      <w:r w:rsidR="00904168">
        <w:t>to-</w:t>
      </w:r>
      <w:r w:rsidR="00FC6BA7" w:rsidRPr="007638A5">
        <w:t>peer interaction is enabled</w:t>
      </w:r>
    </w:p>
    <w:p w14:paraId="5FDC7692" w14:textId="18E9D687" w:rsidR="00FC6BA7" w:rsidRPr="007638A5" w:rsidRDefault="00630110" w:rsidP="00847669">
      <w:pPr>
        <w:pStyle w:val="NICEnormal"/>
        <w:ind w:left="720"/>
        <w:rPr>
          <w:lang w:eastAsia="en-GB"/>
        </w:rPr>
      </w:pPr>
      <w:r w:rsidRPr="007638A5">
        <w:rPr>
          <w:lang w:eastAsia="en-GB"/>
        </w:rPr>
        <w:t>Applies to DHTs in B and C.</w:t>
      </w:r>
    </w:p>
    <w:p w14:paraId="4334E90B" w14:textId="66022440" w:rsidR="00630110" w:rsidRPr="007638A5" w:rsidRDefault="00630110" w:rsidP="00847669">
      <w:pPr>
        <w:pStyle w:val="Heading4"/>
        <w:ind w:left="720"/>
      </w:pPr>
      <w:bookmarkStart w:id="51" w:name="_Information_that_can_6"/>
      <w:bookmarkEnd w:id="51"/>
      <w:r w:rsidRPr="007638A5">
        <w:t>Information that can be used to meet standard</w:t>
      </w:r>
      <w:r w:rsidR="00EC1D67">
        <w:t xml:space="preserve"> </w:t>
      </w:r>
      <w:r w:rsidR="002C2331">
        <w:t>8</w:t>
      </w:r>
    </w:p>
    <w:p w14:paraId="580A4085" w14:textId="07B16D3A" w:rsidR="00595C11" w:rsidRPr="007638A5" w:rsidRDefault="00595C11" w:rsidP="00847669">
      <w:pPr>
        <w:pStyle w:val="NICEnormal"/>
        <w:ind w:left="720"/>
      </w:pPr>
      <w:r w:rsidRPr="007638A5">
        <w:t>Show that appropriate safeguarding measures are in place around peer support and other communication functions within the platform</w:t>
      </w:r>
      <w:r w:rsidR="009760C8">
        <w:t>:</w:t>
      </w:r>
      <w:r w:rsidRPr="007638A5">
        <w:t xml:space="preserve"> </w:t>
      </w:r>
    </w:p>
    <w:p w14:paraId="1C5A0443" w14:textId="77777777" w:rsidR="00595C11" w:rsidRPr="007638A5" w:rsidRDefault="00595C11" w:rsidP="005E31F3">
      <w:pPr>
        <w:pStyle w:val="Bulletleft1"/>
        <w:numPr>
          <w:ilvl w:val="0"/>
          <w:numId w:val="17"/>
        </w:numPr>
      </w:pPr>
      <w:r w:rsidRPr="007638A5">
        <w:t xml:space="preserve">Describe who has access to the platform and their roles within the platform. </w:t>
      </w:r>
    </w:p>
    <w:p w14:paraId="44623EEE" w14:textId="77777777" w:rsidR="00595C11" w:rsidRPr="007638A5" w:rsidRDefault="00595C11" w:rsidP="005E31F3">
      <w:pPr>
        <w:pStyle w:val="Bulletleft1last"/>
        <w:numPr>
          <w:ilvl w:val="0"/>
          <w:numId w:val="17"/>
        </w:numPr>
      </w:pPr>
      <w:r w:rsidRPr="007638A5">
        <w:t xml:space="preserve">Describe why these people or groups are suitable and qualified to have access. </w:t>
      </w:r>
    </w:p>
    <w:p w14:paraId="6E080214" w14:textId="7C9E8FC7" w:rsidR="00630110" w:rsidRPr="007638A5" w:rsidRDefault="00595C11" w:rsidP="00847669">
      <w:pPr>
        <w:pStyle w:val="NICEnormal"/>
        <w:ind w:left="720"/>
        <w:rPr>
          <w:lang w:eastAsia="en-GB"/>
        </w:rPr>
      </w:pPr>
      <w:r w:rsidRPr="007638A5">
        <w:rPr>
          <w:lang w:eastAsia="en-GB"/>
        </w:rPr>
        <w:t>Describe any measures in place to ensure safety in peer-to-peer communication, for example</w:t>
      </w:r>
      <w:r w:rsidR="00904168">
        <w:rPr>
          <w:lang w:eastAsia="en-GB"/>
        </w:rPr>
        <w:t>,</w:t>
      </w:r>
      <w:r w:rsidRPr="007638A5">
        <w:rPr>
          <w:lang w:eastAsia="en-GB"/>
        </w:rPr>
        <w:t xml:space="preserve"> through user agreements or moderation</w:t>
      </w:r>
      <w:r w:rsidR="00904168">
        <w:rPr>
          <w:lang w:eastAsia="en-GB"/>
        </w:rPr>
        <w:t>.</w:t>
      </w:r>
    </w:p>
    <w:p w14:paraId="22B6DE58" w14:textId="6D29C23E" w:rsidR="00FC6BA7" w:rsidRPr="007638A5" w:rsidRDefault="00FC6BA7" w:rsidP="00F935BF">
      <w:pPr>
        <w:pStyle w:val="Heading2"/>
      </w:pPr>
      <w:bookmarkStart w:id="52" w:name="_Describing_value"/>
      <w:bookmarkEnd w:id="52"/>
      <w:r w:rsidRPr="007638A5">
        <w:t>Describing value</w:t>
      </w:r>
    </w:p>
    <w:p w14:paraId="4367BBB4" w14:textId="516A5C11" w:rsidR="00FC6BA7" w:rsidRDefault="004C27E4" w:rsidP="005E31F3">
      <w:pPr>
        <w:pStyle w:val="Heading3"/>
        <w:numPr>
          <w:ilvl w:val="0"/>
          <w:numId w:val="14"/>
        </w:numPr>
      </w:pPr>
      <w:bookmarkStart w:id="53" w:name="_Standard_8:_describe"/>
      <w:bookmarkStart w:id="54" w:name="_Standard_89:_describe"/>
      <w:bookmarkEnd w:id="53"/>
      <w:bookmarkEnd w:id="54"/>
      <w:r w:rsidRPr="007638A5">
        <w:t xml:space="preserve">Standard </w:t>
      </w:r>
      <w:r w:rsidR="002C2331">
        <w:t>9</w:t>
      </w:r>
      <w:r w:rsidRPr="007638A5">
        <w:t xml:space="preserve">: describe the intended </w:t>
      </w:r>
      <w:r w:rsidR="004B11F1">
        <w:t>purpose</w:t>
      </w:r>
      <w:r w:rsidR="004B11F1" w:rsidRPr="007638A5">
        <w:t xml:space="preserve"> </w:t>
      </w:r>
      <w:r w:rsidRPr="007638A5">
        <w:t>and target population</w:t>
      </w:r>
    </w:p>
    <w:p w14:paraId="256C1FC0" w14:textId="4B688F1E" w:rsidR="00904168" w:rsidRPr="00904168" w:rsidRDefault="00904168" w:rsidP="00847669">
      <w:pPr>
        <w:pStyle w:val="NICEnormal"/>
        <w:ind w:left="720"/>
        <w:rPr>
          <w:lang w:eastAsia="en-GB"/>
        </w:rPr>
      </w:pPr>
      <w:r w:rsidRPr="00904168">
        <w:rPr>
          <w:lang w:eastAsia="en-GB"/>
        </w:rPr>
        <w:t>Applies to DHTs in A, B and C.</w:t>
      </w:r>
    </w:p>
    <w:p w14:paraId="1A61505F" w14:textId="59243542" w:rsidR="004C27E4" w:rsidRPr="007638A5" w:rsidRDefault="00FC6BA7" w:rsidP="00847669">
      <w:pPr>
        <w:pStyle w:val="NICEnormal"/>
        <w:ind w:left="720"/>
      </w:pPr>
      <w:r w:rsidRPr="007638A5">
        <w:t>De</w:t>
      </w:r>
      <w:r w:rsidR="004C27E4" w:rsidRPr="007638A5">
        <w:t xml:space="preserve">scribe the intended use, target population or user group, and claimed benefits for the DHT. Include any inclusion and exclusion criteria that apply. </w:t>
      </w:r>
    </w:p>
    <w:p w14:paraId="710C4D79" w14:textId="22550A54" w:rsidR="004C27E4" w:rsidRPr="007638A5" w:rsidRDefault="004C27E4" w:rsidP="00847669">
      <w:pPr>
        <w:pStyle w:val="NICEnormal"/>
        <w:ind w:left="720"/>
      </w:pPr>
      <w:r w:rsidRPr="007638A5">
        <w:t>Describe the expected uptake profile of the DHT.</w:t>
      </w:r>
    </w:p>
    <w:p w14:paraId="76FFAD88" w14:textId="785ADBE7" w:rsidR="00630110" w:rsidRPr="007638A5" w:rsidRDefault="00630110" w:rsidP="00847669">
      <w:pPr>
        <w:pStyle w:val="Heading4"/>
        <w:ind w:left="720"/>
      </w:pPr>
      <w:bookmarkStart w:id="55" w:name="_Information_that_can_7"/>
      <w:bookmarkEnd w:id="55"/>
      <w:r w:rsidRPr="007638A5">
        <w:t>Information that can be used to meet standard</w:t>
      </w:r>
      <w:r w:rsidR="00EC1D67">
        <w:t xml:space="preserve"> </w:t>
      </w:r>
      <w:r w:rsidR="002C2331">
        <w:t>9</w:t>
      </w:r>
    </w:p>
    <w:p w14:paraId="3BB2FAFF" w14:textId="13F33212" w:rsidR="00504254" w:rsidRDefault="00504254" w:rsidP="00847669">
      <w:pPr>
        <w:pStyle w:val="NICEnormal"/>
        <w:ind w:left="720"/>
      </w:pPr>
      <w:r>
        <w:t xml:space="preserve">The target population can be </w:t>
      </w:r>
      <w:r w:rsidR="00595C11" w:rsidRPr="007638A5">
        <w:t xml:space="preserve">defined by </w:t>
      </w:r>
      <w:r w:rsidR="00904168">
        <w:t xml:space="preserve">a </w:t>
      </w:r>
      <w:r w:rsidR="00595C11" w:rsidRPr="007638A5">
        <w:t>particular health condition or position in the care pathway</w:t>
      </w:r>
      <w:r>
        <w:t xml:space="preserve">. </w:t>
      </w:r>
      <w:r w:rsidR="00C50768">
        <w:t>Any important s</w:t>
      </w:r>
      <w:r>
        <w:t>ubgroups</w:t>
      </w:r>
      <w:r w:rsidR="00C50768">
        <w:t xml:space="preserve"> should also be identified</w:t>
      </w:r>
      <w:r>
        <w:t xml:space="preserve">. </w:t>
      </w:r>
    </w:p>
    <w:p w14:paraId="0EE3944A" w14:textId="37741B61" w:rsidR="00595C11" w:rsidRPr="007638A5" w:rsidRDefault="00504254" w:rsidP="00504254">
      <w:pPr>
        <w:pStyle w:val="NICEnormal"/>
        <w:ind w:left="720"/>
      </w:pPr>
      <w:r>
        <w:t>The size of the</w:t>
      </w:r>
      <w:r w:rsidR="00595C11" w:rsidRPr="007638A5">
        <w:t xml:space="preserve"> intended target population </w:t>
      </w:r>
      <w:r>
        <w:t>should be</w:t>
      </w:r>
      <w:r w:rsidR="00595C11" w:rsidRPr="007638A5">
        <w:t xml:space="preserve"> calculated using appropriate and current national or local sources (for example, accurate epidemiological data of prevalence and incidence of the relevant health problem), or expert estimates if this is not available. Note that </w:t>
      </w:r>
      <w:hyperlink r:id="rId31" w:history="1">
        <w:r w:rsidR="00595C11" w:rsidRPr="00904168">
          <w:rPr>
            <w:rStyle w:val="Hyperlink"/>
          </w:rPr>
          <w:t>NICE’s resource impact assessment manual</w:t>
        </w:r>
      </w:hyperlink>
      <w:r w:rsidR="00595C11" w:rsidRPr="007638A5">
        <w:t xml:space="preserve"> describe</w:t>
      </w:r>
      <w:r w:rsidR="00904168">
        <w:t>s</w:t>
      </w:r>
      <w:r w:rsidR="00595C11" w:rsidRPr="007638A5">
        <w:t xml:space="preserve"> an approach to calculating population size.</w:t>
      </w:r>
    </w:p>
    <w:p w14:paraId="1EA22F15" w14:textId="6BFE7106" w:rsidR="00595C11" w:rsidRPr="007638A5" w:rsidRDefault="00595C11" w:rsidP="00847669">
      <w:pPr>
        <w:pStyle w:val="NICEnormal"/>
        <w:ind w:left="720"/>
      </w:pPr>
      <w:r w:rsidRPr="007638A5">
        <w:t>The expected uptake profile describes the proportion of people within the target population who are expected to use the DHT, and their usage rates. This may be impacted by digital literacy within the intended user population, availability of necessary connectivity, and access to necessary hardware or devices.</w:t>
      </w:r>
    </w:p>
    <w:p w14:paraId="4EF5085A" w14:textId="77777777" w:rsidR="00595C11" w:rsidRPr="007638A5" w:rsidRDefault="00595C11" w:rsidP="00847669">
      <w:pPr>
        <w:pStyle w:val="NICEnormal"/>
        <w:ind w:left="720"/>
      </w:pPr>
      <w:r w:rsidRPr="007638A5">
        <w:t>Demonstrate that the expected uptake profile is:</w:t>
      </w:r>
    </w:p>
    <w:p w14:paraId="294E48BA" w14:textId="04F8A85B" w:rsidR="00595C11" w:rsidRPr="007638A5" w:rsidRDefault="00595C11" w:rsidP="005E31F3">
      <w:pPr>
        <w:pStyle w:val="Bulletleft1"/>
        <w:numPr>
          <w:ilvl w:val="0"/>
          <w:numId w:val="17"/>
        </w:numPr>
      </w:pPr>
      <w:r w:rsidRPr="007638A5">
        <w:t xml:space="preserve">calculated using uptake rates from pilot data or other usage data from the </w:t>
      </w:r>
      <w:r w:rsidR="00AC5EA6">
        <w:t>company</w:t>
      </w:r>
    </w:p>
    <w:p w14:paraId="3B48CDDB" w14:textId="6B2DD1CA" w:rsidR="00595C11" w:rsidRPr="007638A5" w:rsidRDefault="00595C11" w:rsidP="005E31F3">
      <w:pPr>
        <w:pStyle w:val="Bulletleft1"/>
        <w:numPr>
          <w:ilvl w:val="0"/>
          <w:numId w:val="17"/>
        </w:numPr>
      </w:pPr>
      <w:r w:rsidRPr="007638A5">
        <w:t>validated as an accurate representation of what is expected (including any variations by subgroup and over time) by showing agreement and support from relevant professionals in the UK health and social care system</w:t>
      </w:r>
    </w:p>
    <w:p w14:paraId="1749C3B4" w14:textId="57D6246C" w:rsidR="00630110" w:rsidRPr="007638A5" w:rsidRDefault="00904168" w:rsidP="005E31F3">
      <w:pPr>
        <w:pStyle w:val="Bulletleft1last"/>
        <w:numPr>
          <w:ilvl w:val="0"/>
          <w:numId w:val="17"/>
        </w:numPr>
      </w:pPr>
      <w:r>
        <w:t>m</w:t>
      </w:r>
      <w:r w:rsidR="00595C11" w:rsidRPr="007638A5">
        <w:t>indful of subgroups with different expected uptake rates and how these may change over time.</w:t>
      </w:r>
    </w:p>
    <w:p w14:paraId="0004FC5E" w14:textId="56F54073" w:rsidR="004C27E4" w:rsidRPr="007638A5" w:rsidRDefault="004C27E4" w:rsidP="005E31F3">
      <w:pPr>
        <w:pStyle w:val="Heading3"/>
        <w:numPr>
          <w:ilvl w:val="0"/>
          <w:numId w:val="14"/>
        </w:numPr>
      </w:pPr>
      <w:bookmarkStart w:id="56" w:name="_Standard_9:_describe"/>
      <w:bookmarkStart w:id="57" w:name="_Standard_910:_describe"/>
      <w:bookmarkEnd w:id="56"/>
      <w:bookmarkEnd w:id="57"/>
      <w:r w:rsidRPr="007638A5">
        <w:t xml:space="preserve">Standard </w:t>
      </w:r>
      <w:r w:rsidR="002C2331">
        <w:t>10</w:t>
      </w:r>
      <w:r w:rsidRPr="007638A5">
        <w:t>: describe the current pathway or system process</w:t>
      </w:r>
    </w:p>
    <w:p w14:paraId="7AE78D1E" w14:textId="33D1FF2F" w:rsidR="00FC6BA7" w:rsidRPr="007638A5" w:rsidRDefault="00630110" w:rsidP="00847669">
      <w:pPr>
        <w:pStyle w:val="NICEnormal"/>
        <w:ind w:left="720"/>
        <w:rPr>
          <w:lang w:eastAsia="en-GB"/>
        </w:rPr>
      </w:pPr>
      <w:r w:rsidRPr="007638A5">
        <w:rPr>
          <w:lang w:eastAsia="en-GB"/>
        </w:rPr>
        <w:t>Applies to DHTs in A, B and C.</w:t>
      </w:r>
    </w:p>
    <w:p w14:paraId="3A0C2DE3" w14:textId="19B672C4" w:rsidR="00630110" w:rsidRPr="007638A5" w:rsidRDefault="00630110" w:rsidP="00847669">
      <w:pPr>
        <w:pStyle w:val="Heading4"/>
        <w:ind w:left="720"/>
      </w:pPr>
      <w:bookmarkStart w:id="58" w:name="_Information_that_can_8"/>
      <w:bookmarkEnd w:id="58"/>
      <w:r w:rsidRPr="007638A5">
        <w:t>Information that can be used to meet standard</w:t>
      </w:r>
      <w:r w:rsidR="00EC1D67">
        <w:t xml:space="preserve"> </w:t>
      </w:r>
      <w:r w:rsidR="002C2331">
        <w:t>10</w:t>
      </w:r>
    </w:p>
    <w:p w14:paraId="19E37825" w14:textId="4D402EC2" w:rsidR="00595C11" w:rsidRPr="007638A5" w:rsidRDefault="00595C11" w:rsidP="00847669">
      <w:pPr>
        <w:pStyle w:val="NICEnormal"/>
        <w:ind w:left="720"/>
      </w:pPr>
      <w:r w:rsidRPr="007638A5">
        <w:t xml:space="preserve">Use national clinical guidelines, national guidance or academic literature and consultation with healthcare professionals and </w:t>
      </w:r>
      <w:r w:rsidR="00AC5EA6">
        <w:t>service user</w:t>
      </w:r>
      <w:r w:rsidRPr="007638A5">
        <w:t xml:space="preserve">s to map out the existing care pathway or system processes. </w:t>
      </w:r>
    </w:p>
    <w:p w14:paraId="4684DCE9" w14:textId="77777777" w:rsidR="00595C11" w:rsidRPr="007638A5" w:rsidRDefault="00595C11" w:rsidP="00847669">
      <w:pPr>
        <w:pStyle w:val="NICEnormal"/>
        <w:ind w:left="720"/>
      </w:pPr>
      <w:r w:rsidRPr="007638A5">
        <w:t xml:space="preserve">Use a comprehensive, </w:t>
      </w:r>
      <w:proofErr w:type="gramStart"/>
      <w:r w:rsidRPr="007638A5">
        <w:t>detailed</w:t>
      </w:r>
      <w:proofErr w:type="gramEnd"/>
      <w:r w:rsidRPr="007638A5">
        <w:t xml:space="preserve"> and stepwise approach (for example, using a flow chart).</w:t>
      </w:r>
    </w:p>
    <w:p w14:paraId="721BBCB2" w14:textId="77777777" w:rsidR="00595C11" w:rsidRPr="007638A5" w:rsidRDefault="00595C11" w:rsidP="00847669">
      <w:pPr>
        <w:pStyle w:val="NICEnormal"/>
        <w:ind w:left="720"/>
      </w:pPr>
      <w:r w:rsidRPr="007638A5">
        <w:t>The representation of current care or system processes should be comprehensive and should be checked and validated by relevant professionals in the UK health and social care system.</w:t>
      </w:r>
    </w:p>
    <w:p w14:paraId="2D22E1A4" w14:textId="324E950E" w:rsidR="00595C11" w:rsidRPr="007638A5" w:rsidRDefault="00595C11" w:rsidP="00847669">
      <w:pPr>
        <w:pStyle w:val="NICEnormal"/>
        <w:ind w:left="720"/>
      </w:pPr>
      <w:r w:rsidRPr="007638A5">
        <w:t xml:space="preserve">If there is no existing care pathway or system process, the impact of adopting the technology should be clearly specified using an approach </w:t>
      </w:r>
      <w:r w:rsidR="005162F3">
        <w:t>that</w:t>
      </w:r>
      <w:r w:rsidR="005162F3" w:rsidRPr="007638A5">
        <w:t xml:space="preserve"> </w:t>
      </w:r>
      <w:r w:rsidRPr="007638A5">
        <w:t xml:space="preserve">can be used as a basis for an economic evaluation. </w:t>
      </w:r>
    </w:p>
    <w:p w14:paraId="2CDCE1EF" w14:textId="0BB905FE" w:rsidR="00630110" w:rsidRPr="007638A5" w:rsidRDefault="00595C11" w:rsidP="00847669">
      <w:pPr>
        <w:pStyle w:val="NICEnormal"/>
        <w:ind w:left="720"/>
        <w:rPr>
          <w:lang w:eastAsia="en-GB"/>
        </w:rPr>
      </w:pPr>
      <w:r w:rsidRPr="007638A5">
        <w:rPr>
          <w:lang w:eastAsia="en-GB"/>
        </w:rPr>
        <w:t xml:space="preserve">If there is more than </w:t>
      </w:r>
      <w:r w:rsidR="005162F3">
        <w:rPr>
          <w:lang w:eastAsia="en-GB"/>
        </w:rPr>
        <w:t>1</w:t>
      </w:r>
      <w:r w:rsidR="005162F3" w:rsidRPr="007638A5">
        <w:rPr>
          <w:lang w:eastAsia="en-GB"/>
        </w:rPr>
        <w:t xml:space="preserve"> </w:t>
      </w:r>
      <w:r w:rsidRPr="007638A5">
        <w:rPr>
          <w:lang w:eastAsia="en-GB"/>
        </w:rPr>
        <w:t>existing care pathway or system process, describe each of them.</w:t>
      </w:r>
    </w:p>
    <w:p w14:paraId="60125090" w14:textId="075D8DC4" w:rsidR="004C27E4" w:rsidRPr="007638A5" w:rsidRDefault="004C27E4" w:rsidP="005E31F3">
      <w:pPr>
        <w:pStyle w:val="Heading3"/>
        <w:numPr>
          <w:ilvl w:val="0"/>
          <w:numId w:val="14"/>
        </w:numPr>
      </w:pPr>
      <w:bookmarkStart w:id="59" w:name="_Standard_10:_describe"/>
      <w:bookmarkStart w:id="60" w:name="_Standard_1011:_describe"/>
      <w:bookmarkEnd w:id="59"/>
      <w:bookmarkEnd w:id="60"/>
      <w:r w:rsidRPr="007638A5">
        <w:t xml:space="preserve">Standard </w:t>
      </w:r>
      <w:r w:rsidR="002C2331" w:rsidRPr="007638A5">
        <w:t>1</w:t>
      </w:r>
      <w:r w:rsidR="002C2331">
        <w:t>1</w:t>
      </w:r>
      <w:r w:rsidRPr="007638A5">
        <w:t>: describe the proposed pathway or system process using the DHT</w:t>
      </w:r>
    </w:p>
    <w:p w14:paraId="39B560CA" w14:textId="0EFDA3B5" w:rsidR="00FC6BA7" w:rsidRPr="007638A5" w:rsidRDefault="00630110" w:rsidP="005E31F3">
      <w:pPr>
        <w:pStyle w:val="NICEnormal"/>
        <w:ind w:left="720"/>
        <w:rPr>
          <w:lang w:eastAsia="en-GB"/>
        </w:rPr>
      </w:pPr>
      <w:r w:rsidRPr="007638A5">
        <w:rPr>
          <w:lang w:eastAsia="en-GB"/>
        </w:rPr>
        <w:t>Applies to DHTs in A, B and C.</w:t>
      </w:r>
    </w:p>
    <w:p w14:paraId="10906C5E" w14:textId="2B145366" w:rsidR="00630110" w:rsidRPr="007638A5" w:rsidRDefault="00630110" w:rsidP="005E31F3">
      <w:pPr>
        <w:pStyle w:val="Heading4"/>
        <w:ind w:left="720"/>
      </w:pPr>
      <w:bookmarkStart w:id="61" w:name="_Information_that_can_9"/>
      <w:bookmarkEnd w:id="61"/>
      <w:r w:rsidRPr="007638A5">
        <w:t>Information that can be used to meet standard</w:t>
      </w:r>
      <w:r w:rsidR="00EC1D67">
        <w:t xml:space="preserve"> 1</w:t>
      </w:r>
      <w:r w:rsidR="002C2331">
        <w:t>1</w:t>
      </w:r>
    </w:p>
    <w:p w14:paraId="582ACF8E" w14:textId="77777777" w:rsidR="0088082B" w:rsidRPr="007638A5" w:rsidRDefault="0088082B" w:rsidP="005E31F3">
      <w:pPr>
        <w:pStyle w:val="NICEnormal"/>
        <w:ind w:left="720"/>
      </w:pPr>
      <w:r w:rsidRPr="007638A5">
        <w:t>Provide details of how the proposed care pathway or system process using the DHT will be different to the current pathway or system process, including:</w:t>
      </w:r>
    </w:p>
    <w:p w14:paraId="202B53C7" w14:textId="6622B874" w:rsidR="00580C2A" w:rsidRPr="007638A5" w:rsidRDefault="00580C2A" w:rsidP="00580C2A">
      <w:pPr>
        <w:pStyle w:val="Bulletleft1"/>
        <w:numPr>
          <w:ilvl w:val="0"/>
          <w:numId w:val="17"/>
        </w:numPr>
      </w:pPr>
      <w:r>
        <w:t>whether using the DHT would replace an existing technology or step in current care, or whether it would be in addition to current care</w:t>
      </w:r>
    </w:p>
    <w:p w14:paraId="7D69571E" w14:textId="7E2A9787" w:rsidR="0088082B" w:rsidRPr="007638A5" w:rsidRDefault="0088082B" w:rsidP="00137EB3">
      <w:pPr>
        <w:pStyle w:val="Bulletleft1"/>
        <w:numPr>
          <w:ilvl w:val="0"/>
          <w:numId w:val="17"/>
        </w:numPr>
      </w:pPr>
      <w:r w:rsidRPr="007638A5">
        <w:t>any changes that would need to be made to infrastructure, service provision and workforce, compared with current care or process</w:t>
      </w:r>
    </w:p>
    <w:p w14:paraId="4D40269D" w14:textId="430412F3" w:rsidR="0088082B" w:rsidRPr="007638A5" w:rsidRDefault="005162F3" w:rsidP="00137EB3">
      <w:pPr>
        <w:pStyle w:val="Bulletleft1"/>
        <w:numPr>
          <w:ilvl w:val="0"/>
          <w:numId w:val="17"/>
        </w:numPr>
      </w:pPr>
      <w:r>
        <w:t>w</w:t>
      </w:r>
      <w:r w:rsidR="0088082B" w:rsidRPr="007638A5">
        <w:t xml:space="preserve">hether the proposed pathway crosses between existing care boundaries, such as between primary and secondary care </w:t>
      </w:r>
    </w:p>
    <w:p w14:paraId="311633AC" w14:textId="58603405" w:rsidR="0088082B" w:rsidRPr="007638A5" w:rsidRDefault="0088082B" w:rsidP="00137EB3">
      <w:pPr>
        <w:pStyle w:val="Bulletleft1"/>
        <w:numPr>
          <w:ilvl w:val="0"/>
          <w:numId w:val="17"/>
        </w:numPr>
      </w:pPr>
      <w:r w:rsidRPr="007638A5">
        <w:t xml:space="preserve">changes needed to implement, </w:t>
      </w:r>
      <w:proofErr w:type="gramStart"/>
      <w:r w:rsidRPr="007638A5">
        <w:t>operate</w:t>
      </w:r>
      <w:proofErr w:type="gramEnd"/>
      <w:r w:rsidRPr="007638A5">
        <w:t xml:space="preserve"> and maintain the proposed pathway or process using the DHT</w:t>
      </w:r>
    </w:p>
    <w:p w14:paraId="3BC910C5" w14:textId="69255D9A" w:rsidR="0088082B" w:rsidRDefault="005162F3" w:rsidP="00137EB3">
      <w:pPr>
        <w:pStyle w:val="Bulletleft1"/>
        <w:numPr>
          <w:ilvl w:val="0"/>
          <w:numId w:val="17"/>
        </w:numPr>
      </w:pPr>
      <w:r>
        <w:t>a</w:t>
      </w:r>
      <w:r w:rsidR="0088082B" w:rsidRPr="007638A5">
        <w:t xml:space="preserve">ny costs associated with training and education for health and care professionals or end users, </w:t>
      </w:r>
      <w:proofErr w:type="gramStart"/>
      <w:r w:rsidR="0088082B" w:rsidRPr="007638A5">
        <w:t>in order to</w:t>
      </w:r>
      <w:proofErr w:type="gramEnd"/>
      <w:r w:rsidR="0088082B" w:rsidRPr="007638A5">
        <w:t xml:space="preserve"> effectively implement and use the DHT</w:t>
      </w:r>
    </w:p>
    <w:p w14:paraId="1CCBE7CF" w14:textId="2B9533C1" w:rsidR="00630110" w:rsidRPr="007638A5" w:rsidRDefault="0088082B" w:rsidP="00137EB3">
      <w:pPr>
        <w:pStyle w:val="Bulletleft1last"/>
        <w:numPr>
          <w:ilvl w:val="0"/>
          <w:numId w:val="17"/>
        </w:numPr>
      </w:pPr>
      <w:r w:rsidRPr="007638A5">
        <w:t>any influential contextual issues that may act as barriers for enablers to implementation.</w:t>
      </w:r>
    </w:p>
    <w:p w14:paraId="3D2926D3" w14:textId="01AEF53F" w:rsidR="004C27E4" w:rsidRPr="007638A5" w:rsidRDefault="004C27E4" w:rsidP="005E31F3">
      <w:pPr>
        <w:pStyle w:val="Heading3"/>
        <w:numPr>
          <w:ilvl w:val="0"/>
          <w:numId w:val="14"/>
        </w:numPr>
      </w:pPr>
      <w:bookmarkStart w:id="62" w:name="_Standard_11:_describe"/>
      <w:bookmarkStart w:id="63" w:name="_Standard_1112:_describe"/>
      <w:bookmarkEnd w:id="62"/>
      <w:bookmarkEnd w:id="63"/>
      <w:r w:rsidRPr="007638A5">
        <w:t xml:space="preserve">Standard </w:t>
      </w:r>
      <w:r w:rsidR="002C2331" w:rsidRPr="007638A5">
        <w:t>1</w:t>
      </w:r>
      <w:r w:rsidR="002C2331">
        <w:t>2</w:t>
      </w:r>
      <w:r w:rsidRPr="007638A5">
        <w:t>: describe</w:t>
      </w:r>
      <w:r w:rsidR="009B1476">
        <w:t xml:space="preserve"> health and system impacts and associated</w:t>
      </w:r>
      <w:r w:rsidR="009B1476" w:rsidRPr="007638A5">
        <w:t xml:space="preserve"> </w:t>
      </w:r>
      <w:r w:rsidRPr="007638A5">
        <w:t>cost and resource impact</w:t>
      </w:r>
      <w:r w:rsidR="00E65D96">
        <w:t>s</w:t>
      </w:r>
      <w:r w:rsidRPr="007638A5">
        <w:t xml:space="preserve"> compared with standard</w:t>
      </w:r>
      <w:r w:rsidR="005162F3">
        <w:t xml:space="preserve"> or </w:t>
      </w:r>
      <w:r w:rsidRPr="007638A5">
        <w:t>current care</w:t>
      </w:r>
    </w:p>
    <w:p w14:paraId="570311C1" w14:textId="1CB09EE5" w:rsidR="00FC6BA7" w:rsidRPr="007638A5" w:rsidRDefault="00630110" w:rsidP="00137EB3">
      <w:pPr>
        <w:pStyle w:val="NICEnormal"/>
        <w:ind w:left="720"/>
        <w:rPr>
          <w:lang w:eastAsia="en-GB"/>
        </w:rPr>
      </w:pPr>
      <w:r w:rsidRPr="007638A5">
        <w:rPr>
          <w:lang w:eastAsia="en-GB"/>
        </w:rPr>
        <w:t>Applies to DHTs in A, B and C.</w:t>
      </w:r>
    </w:p>
    <w:p w14:paraId="77970418" w14:textId="30032E0E" w:rsidR="00630110" w:rsidRPr="007638A5" w:rsidRDefault="00630110" w:rsidP="00137EB3">
      <w:pPr>
        <w:pStyle w:val="Heading4"/>
        <w:ind w:left="720"/>
      </w:pPr>
      <w:bookmarkStart w:id="64" w:name="_Information_that_can_10"/>
      <w:bookmarkEnd w:id="64"/>
      <w:r w:rsidRPr="007638A5">
        <w:t>Information that can be used to meet standard</w:t>
      </w:r>
      <w:r w:rsidR="00EC1D67">
        <w:t xml:space="preserve"> 1</w:t>
      </w:r>
      <w:r w:rsidR="002C2331">
        <w:t>2</w:t>
      </w:r>
    </w:p>
    <w:p w14:paraId="2391AFE4" w14:textId="6CDCA081" w:rsidR="0088082B" w:rsidRPr="007638A5" w:rsidRDefault="0088082B" w:rsidP="00137EB3">
      <w:pPr>
        <w:pStyle w:val="NICEnormal"/>
        <w:ind w:left="720"/>
      </w:pPr>
      <w:r w:rsidRPr="007638A5">
        <w:t>To assess impact of the DHT, we need to understand and compare the health and system benefits from the current pathway or process and the proposed pathway or process using the DHT</w:t>
      </w:r>
      <w:r w:rsidR="00AB48AC">
        <w:t>:</w:t>
      </w:r>
    </w:p>
    <w:p w14:paraId="271581B7" w14:textId="050AA376" w:rsidR="0088082B" w:rsidRPr="007638A5" w:rsidRDefault="0088082B" w:rsidP="00137EB3">
      <w:pPr>
        <w:pStyle w:val="Bulletleft1"/>
        <w:numPr>
          <w:ilvl w:val="0"/>
          <w:numId w:val="17"/>
        </w:numPr>
      </w:pPr>
      <w:r w:rsidRPr="007638A5">
        <w:t>Describe the health benefits and other outcomes (such as system efficiency</w:t>
      </w:r>
      <w:r w:rsidR="00E65D96">
        <w:t xml:space="preserve">, </w:t>
      </w:r>
      <w:r w:rsidRPr="007638A5">
        <w:t>care outcomes</w:t>
      </w:r>
      <w:r w:rsidR="00E65D96">
        <w:t>, or structural and procedural effects</w:t>
      </w:r>
      <w:r w:rsidRPr="007638A5">
        <w:t xml:space="preserve">) </w:t>
      </w:r>
      <w:r w:rsidRPr="00137EB3">
        <w:t>associated with current practice</w:t>
      </w:r>
      <w:r w:rsidRPr="007638A5">
        <w:t>. If possible, quantify the uncertainty associated with these figures (for example, with confidence intervals or probability distribution).</w:t>
      </w:r>
    </w:p>
    <w:p w14:paraId="7F1E12AF" w14:textId="042D9E38" w:rsidR="0088082B" w:rsidRPr="007638A5" w:rsidRDefault="0088082B" w:rsidP="00137EB3">
      <w:pPr>
        <w:pStyle w:val="Bulletleft1last"/>
        <w:numPr>
          <w:ilvl w:val="0"/>
          <w:numId w:val="17"/>
        </w:numPr>
      </w:pPr>
      <w:r w:rsidRPr="007638A5">
        <w:t>Describe the health benefits and other outcomes (such as system efficiency</w:t>
      </w:r>
      <w:r w:rsidR="00E65D96">
        <w:t>,</w:t>
      </w:r>
      <w:r w:rsidRPr="007638A5">
        <w:t xml:space="preserve"> care outcomes</w:t>
      </w:r>
      <w:r w:rsidR="00E65D96">
        <w:t>, or structural and procedural effects</w:t>
      </w:r>
      <w:r w:rsidRPr="007638A5">
        <w:t xml:space="preserve">) </w:t>
      </w:r>
      <w:r w:rsidRPr="00137EB3">
        <w:t>associated with using the DHT</w:t>
      </w:r>
      <w:r w:rsidRPr="007638A5">
        <w:t>. If possible, quantify the uncertainty associated with these figures (for example, with confidence intervals or probability distribution).</w:t>
      </w:r>
    </w:p>
    <w:p w14:paraId="2BABBF95" w14:textId="77777777" w:rsidR="00E65D96" w:rsidRDefault="00E65D96" w:rsidP="00137EB3">
      <w:pPr>
        <w:pStyle w:val="NICEnormal"/>
        <w:ind w:left="720"/>
      </w:pPr>
      <w:r>
        <w:t xml:space="preserve">Structural and procedural effects could include access to care, health literacy, adherence to care plans, or coordination of care. </w:t>
      </w:r>
    </w:p>
    <w:p w14:paraId="78AEA0C6" w14:textId="7FCBA55F" w:rsidR="009B1476" w:rsidRDefault="00D90F19" w:rsidP="00137EB3">
      <w:pPr>
        <w:pStyle w:val="NICEnormal"/>
        <w:ind w:left="720"/>
      </w:pPr>
      <w:r>
        <w:t>Also,</w:t>
      </w:r>
      <w:r w:rsidR="009B1476">
        <w:t xml:space="preserve"> it is important to understand whether there are any expected additional costs or cost savings as well as resource impact from the DHT compared with current practice:</w:t>
      </w:r>
    </w:p>
    <w:p w14:paraId="5770A8FA" w14:textId="21DFCB7F" w:rsidR="009B1476" w:rsidRDefault="009B1476" w:rsidP="009B1476">
      <w:pPr>
        <w:pStyle w:val="Bulletleft1"/>
        <w:numPr>
          <w:ilvl w:val="0"/>
          <w:numId w:val="17"/>
        </w:numPr>
      </w:pPr>
      <w:r w:rsidRPr="007638A5">
        <w:t xml:space="preserve">Describe the </w:t>
      </w:r>
      <w:r>
        <w:t xml:space="preserve">costs and resource use </w:t>
      </w:r>
      <w:r w:rsidRPr="00137EB3">
        <w:t>associated with current practice</w:t>
      </w:r>
      <w:r w:rsidRPr="007638A5">
        <w:t>. If possible, quantify the uncertainty associated with these figures (for example, with confidence intervals or probability distribution).</w:t>
      </w:r>
    </w:p>
    <w:p w14:paraId="78079F21" w14:textId="718CBB91" w:rsidR="009B1476" w:rsidRDefault="00CC754B" w:rsidP="00CC754B">
      <w:pPr>
        <w:pStyle w:val="Bulletleft1last"/>
        <w:numPr>
          <w:ilvl w:val="0"/>
          <w:numId w:val="17"/>
        </w:numPr>
      </w:pPr>
      <w:r w:rsidRPr="007638A5">
        <w:t xml:space="preserve">Describe the </w:t>
      </w:r>
      <w:r>
        <w:t>expected costs</w:t>
      </w:r>
      <w:r w:rsidRPr="007638A5">
        <w:t xml:space="preserve"> </w:t>
      </w:r>
      <w:r>
        <w:t xml:space="preserve">and resource use </w:t>
      </w:r>
      <w:r w:rsidRPr="00137EB3">
        <w:t>associated with using the DHT</w:t>
      </w:r>
      <w:r w:rsidRPr="007638A5">
        <w:t>. If possible, quantify the uncertainty associated with these figures (for example, with confidence intervals or probability distribution).</w:t>
      </w:r>
    </w:p>
    <w:p w14:paraId="3FBFAF2C" w14:textId="3AF8DFCD" w:rsidR="0088082B" w:rsidRPr="007638A5" w:rsidRDefault="0088082B" w:rsidP="00137EB3">
      <w:pPr>
        <w:pStyle w:val="NICEnormal"/>
        <w:ind w:left="720"/>
      </w:pPr>
      <w:r w:rsidRPr="007638A5">
        <w:t>The sources for this information should:</w:t>
      </w:r>
    </w:p>
    <w:p w14:paraId="37AFFE88" w14:textId="2CC46528" w:rsidR="0088082B" w:rsidRPr="007638A5" w:rsidRDefault="00F30B71" w:rsidP="00137EB3">
      <w:pPr>
        <w:pStyle w:val="Bulletleft1"/>
        <w:numPr>
          <w:ilvl w:val="0"/>
          <w:numId w:val="17"/>
        </w:numPr>
      </w:pPr>
      <w:r>
        <w:t>b</w:t>
      </w:r>
      <w:r w:rsidR="0088082B" w:rsidRPr="007638A5">
        <w:t>e from the most robust evidence available</w:t>
      </w:r>
      <w:r>
        <w:t xml:space="preserve">, for example </w:t>
      </w:r>
      <w:r w:rsidR="0088082B" w:rsidRPr="007638A5">
        <w:t>from clinical studies on the DHT and on current care options (if available)</w:t>
      </w:r>
      <w:r w:rsidR="008F1FA0">
        <w:t>, real</w:t>
      </w:r>
      <w:r w:rsidR="00C0478A">
        <w:t>-</w:t>
      </w:r>
      <w:r w:rsidR="008F1FA0">
        <w:t>world evidence, observational studies</w:t>
      </w:r>
      <w:r w:rsidR="0088082B" w:rsidRPr="007638A5">
        <w:t xml:space="preserve"> or from expert opinion. </w:t>
      </w:r>
    </w:p>
    <w:p w14:paraId="75C46F2F" w14:textId="2FE506EE" w:rsidR="0088082B" w:rsidRPr="007638A5" w:rsidRDefault="00F30B71" w:rsidP="00137EB3">
      <w:pPr>
        <w:pStyle w:val="Bulletleft1last"/>
        <w:numPr>
          <w:ilvl w:val="0"/>
          <w:numId w:val="17"/>
        </w:numPr>
      </w:pPr>
      <w:r>
        <w:t>b</w:t>
      </w:r>
      <w:r w:rsidR="0088082B" w:rsidRPr="007638A5">
        <w:t xml:space="preserve">e the same as referred to in the </w:t>
      </w:r>
      <w:r w:rsidR="00AB48AC">
        <w:t>p</w:t>
      </w:r>
      <w:r w:rsidR="0088082B" w:rsidRPr="007638A5">
        <w:t xml:space="preserve">erformance and </w:t>
      </w:r>
      <w:r w:rsidR="00AB48AC">
        <w:t>e</w:t>
      </w:r>
      <w:r w:rsidR="0088082B" w:rsidRPr="007638A5">
        <w:t xml:space="preserve">ffectiveness standards (if these apply). </w:t>
      </w:r>
    </w:p>
    <w:p w14:paraId="0BEA5EBB" w14:textId="246667A4" w:rsidR="0088082B" w:rsidRPr="007638A5" w:rsidRDefault="0088082B" w:rsidP="00137EB3">
      <w:pPr>
        <w:pStyle w:val="NICEnormal"/>
        <w:ind w:left="720"/>
      </w:pPr>
      <w:r w:rsidRPr="007638A5">
        <w:t>Evidence synthesis can be used if there are several studies, in which case a sensitivity analysis should be shown.</w:t>
      </w:r>
    </w:p>
    <w:p w14:paraId="7D3EFD9B" w14:textId="77777777" w:rsidR="00207E1A" w:rsidRDefault="00D90F19" w:rsidP="00E96F7E">
      <w:pPr>
        <w:pStyle w:val="NICEnormal"/>
        <w:ind w:left="720"/>
      </w:pPr>
      <w:r>
        <w:t>Estimates should have minimal bias and all uncertainties should be accurately characterised.</w:t>
      </w:r>
      <w:bookmarkStart w:id="65" w:name="_Demonstrating_performance"/>
      <w:bookmarkEnd w:id="65"/>
    </w:p>
    <w:p w14:paraId="03217700" w14:textId="5DF0E2F0" w:rsidR="00FC6BA7" w:rsidRPr="007638A5" w:rsidRDefault="00FC6BA7" w:rsidP="00F935BF">
      <w:pPr>
        <w:pStyle w:val="Heading2"/>
      </w:pPr>
      <w:r w:rsidRPr="007638A5">
        <w:t>Demonstrating performance</w:t>
      </w:r>
    </w:p>
    <w:p w14:paraId="6EC34A63" w14:textId="16FAD1A1" w:rsidR="004C27E4" w:rsidRPr="007638A5" w:rsidRDefault="004C27E4" w:rsidP="005E31F3">
      <w:pPr>
        <w:pStyle w:val="Heading3"/>
        <w:numPr>
          <w:ilvl w:val="0"/>
          <w:numId w:val="14"/>
        </w:numPr>
      </w:pPr>
      <w:bookmarkStart w:id="66" w:name="_Standard_1213:_provide"/>
      <w:bookmarkEnd w:id="66"/>
      <w:r w:rsidRPr="007638A5">
        <w:t xml:space="preserve">Standard </w:t>
      </w:r>
      <w:r w:rsidR="002C2331" w:rsidRPr="007638A5">
        <w:t>1</w:t>
      </w:r>
      <w:r w:rsidR="002C2331">
        <w:t>3</w:t>
      </w:r>
      <w:r w:rsidRPr="007638A5">
        <w:t>: provide evidence of the DHT’s performance to support its claimed benefits</w:t>
      </w:r>
    </w:p>
    <w:p w14:paraId="277A5FE0" w14:textId="56B77535" w:rsidR="00FC6BA7" w:rsidRPr="007638A5" w:rsidRDefault="00630110" w:rsidP="00BD594A">
      <w:pPr>
        <w:pStyle w:val="NICEnormal"/>
        <w:ind w:left="720"/>
        <w:rPr>
          <w:lang w:eastAsia="en-GB"/>
        </w:rPr>
      </w:pPr>
      <w:r w:rsidRPr="007638A5">
        <w:rPr>
          <w:lang w:eastAsia="en-GB"/>
        </w:rPr>
        <w:t>Applies to DHTs in C.</w:t>
      </w:r>
    </w:p>
    <w:p w14:paraId="2B014555" w14:textId="2F48CDA1" w:rsidR="00630110" w:rsidRPr="007638A5" w:rsidRDefault="00630110" w:rsidP="00BD594A">
      <w:pPr>
        <w:pStyle w:val="Heading4"/>
        <w:ind w:left="720"/>
      </w:pPr>
      <w:bookmarkStart w:id="67" w:name="_Information_that_can_11"/>
      <w:bookmarkEnd w:id="67"/>
      <w:r w:rsidRPr="007638A5">
        <w:t>Information that can be used to meet standard</w:t>
      </w:r>
      <w:r w:rsidR="00EC1D67">
        <w:t xml:space="preserve"> 1</w:t>
      </w:r>
      <w:r w:rsidR="002C2331">
        <w:t>3</w:t>
      </w:r>
    </w:p>
    <w:p w14:paraId="7314856C" w14:textId="31980829" w:rsidR="0088082B" w:rsidRDefault="0088082B" w:rsidP="00BD594A">
      <w:pPr>
        <w:pStyle w:val="NICEnormal"/>
        <w:ind w:left="720"/>
      </w:pPr>
      <w:r w:rsidRPr="007638A5">
        <w:t>For tier C DHTs</w:t>
      </w:r>
      <w:r w:rsidR="00DC1247">
        <w:t>,</w:t>
      </w:r>
      <w:r w:rsidRPr="007638A5">
        <w:t xml:space="preserve"> evidence for effectiveness must be shown.</w:t>
      </w:r>
    </w:p>
    <w:p w14:paraId="4D03071F" w14:textId="77777777" w:rsidR="00C64138" w:rsidRDefault="00C64138" w:rsidP="00C64138">
      <w:pPr>
        <w:pStyle w:val="NICEnormal"/>
        <w:ind w:left="720"/>
      </w:pPr>
      <w:r>
        <w:t xml:space="preserve">The evidence should </w:t>
      </w:r>
      <w:r w:rsidRPr="007638A5">
        <w:t xml:space="preserve">show that using the DHT impacts on clinical management of </w:t>
      </w:r>
      <w:r>
        <w:t>the relevant</w:t>
      </w:r>
      <w:r w:rsidRPr="007638A5">
        <w:t xml:space="preserve"> condition</w:t>
      </w:r>
      <w:r>
        <w:t>,</w:t>
      </w:r>
      <w:r w:rsidRPr="007638A5">
        <w:t xml:space="preserve"> in a setting relevant to the UK health and social care system. Outcomes relevant to the intended purpose should be captured.</w:t>
      </w:r>
    </w:p>
    <w:p w14:paraId="0B9418A8" w14:textId="17055F8D" w:rsidR="00B41897" w:rsidRDefault="00501138" w:rsidP="00501138">
      <w:pPr>
        <w:pStyle w:val="NICEnormal"/>
        <w:ind w:left="720"/>
      </w:pPr>
      <w:r w:rsidRPr="007638A5">
        <w:t xml:space="preserve">Choice of study </w:t>
      </w:r>
      <w:r>
        <w:t xml:space="preserve">design </w:t>
      </w:r>
      <w:r w:rsidRPr="007638A5">
        <w:t xml:space="preserve">should be </w:t>
      </w:r>
      <w:r>
        <w:t>guided</w:t>
      </w:r>
      <w:r w:rsidRPr="007638A5">
        <w:t xml:space="preserve"> by the intended </w:t>
      </w:r>
      <w:r w:rsidR="004B11F1">
        <w:t>purpose</w:t>
      </w:r>
      <w:r>
        <w:t xml:space="preserve"> of the DHT</w:t>
      </w:r>
      <w:r w:rsidRPr="007638A5">
        <w:t>,</w:t>
      </w:r>
      <w:r>
        <w:t xml:space="preserve"> and comparative studies are generally more informative</w:t>
      </w:r>
      <w:r w:rsidR="00D43521">
        <w:t xml:space="preserve"> than non-comparative studies. </w:t>
      </w:r>
      <w:r w:rsidR="00B41897">
        <w:t>Some general guidance on assessing the quality of evidence includes:</w:t>
      </w:r>
    </w:p>
    <w:p w14:paraId="1D8C0AA9" w14:textId="3BD028DD" w:rsidR="00B41897" w:rsidRDefault="008D12C4" w:rsidP="005C7CA3">
      <w:pPr>
        <w:pStyle w:val="Bulletleft1"/>
        <w:numPr>
          <w:ilvl w:val="1"/>
          <w:numId w:val="12"/>
        </w:numPr>
      </w:pPr>
      <w:r>
        <w:t>The results of s</w:t>
      </w:r>
      <w:r w:rsidR="00D43521">
        <w:t xml:space="preserve">tudies done in a setting that is </w:t>
      </w:r>
      <w:proofErr w:type="gramStart"/>
      <w:r w:rsidR="00D43521">
        <w:t>similar to</w:t>
      </w:r>
      <w:proofErr w:type="gramEnd"/>
      <w:r w:rsidR="00D43521">
        <w:t xml:space="preserve"> the UK health and care system (such as where the care pathway is similar, patients have similar care options, and/or similar kinds of staff are involved in care) are </w:t>
      </w:r>
      <w:r w:rsidR="00D90F19">
        <w:t>easier</w:t>
      </w:r>
      <w:r>
        <w:t xml:space="preserve"> generalisable to the UK system </w:t>
      </w:r>
      <w:r w:rsidR="00D43521">
        <w:t xml:space="preserve">than </w:t>
      </w:r>
      <w:r w:rsidR="00EC4F92">
        <w:t xml:space="preserve">those of </w:t>
      </w:r>
      <w:r w:rsidR="00D43521">
        <w:t xml:space="preserve">studies done in </w:t>
      </w:r>
      <w:r w:rsidR="00773AE3">
        <w:t>settings</w:t>
      </w:r>
      <w:r w:rsidR="00D43521">
        <w:t xml:space="preserve"> that are very different to the UK</w:t>
      </w:r>
      <w:r w:rsidR="00773AE3">
        <w:t xml:space="preserve"> system</w:t>
      </w:r>
      <w:r w:rsidR="00D43521">
        <w:t>.</w:t>
      </w:r>
      <w:r w:rsidR="00B41897">
        <w:t xml:space="preserve"> </w:t>
      </w:r>
    </w:p>
    <w:p w14:paraId="40D07CC2" w14:textId="21B7C9D1" w:rsidR="00B41897" w:rsidRDefault="00B41897" w:rsidP="005C7CA3">
      <w:pPr>
        <w:pStyle w:val="Bulletleft1"/>
        <w:numPr>
          <w:ilvl w:val="1"/>
          <w:numId w:val="12"/>
        </w:numPr>
      </w:pPr>
      <w:r>
        <w:t xml:space="preserve">Prospective studies are often considered to be more valuable </w:t>
      </w:r>
      <w:r w:rsidR="00487CD8">
        <w:t xml:space="preserve">than retrospective studies </w:t>
      </w:r>
      <w:r w:rsidR="000F67B0">
        <w:t>because</w:t>
      </w:r>
      <w:r>
        <w:t xml:space="preserve"> they can be designed to capture the most relevant outcomes.</w:t>
      </w:r>
    </w:p>
    <w:p w14:paraId="5C7F06F5" w14:textId="57454302" w:rsidR="00B41897" w:rsidRDefault="00B41897" w:rsidP="005C7CA3">
      <w:pPr>
        <w:pStyle w:val="Bulletleft1"/>
        <w:numPr>
          <w:ilvl w:val="1"/>
          <w:numId w:val="12"/>
        </w:numPr>
      </w:pPr>
      <w:r>
        <w:t xml:space="preserve">Studies that are published in peer-reviewed journals have usually </w:t>
      </w:r>
      <w:r w:rsidR="00216C73">
        <w:t>had some independent assessment of their quality before publication.</w:t>
      </w:r>
    </w:p>
    <w:p w14:paraId="07B854A9" w14:textId="7C35D495" w:rsidR="00B41897" w:rsidRDefault="008D12C4" w:rsidP="005C7CA3">
      <w:pPr>
        <w:pStyle w:val="Bulletleft1last"/>
        <w:numPr>
          <w:ilvl w:val="1"/>
          <w:numId w:val="6"/>
        </w:numPr>
      </w:pPr>
      <w:r>
        <w:t xml:space="preserve">There are different ways to appraise the quality of research studies. </w:t>
      </w:r>
      <w:hyperlink r:id="rId32" w:history="1">
        <w:r w:rsidR="004739C9" w:rsidRPr="000F67B0">
          <w:rPr>
            <w:rStyle w:val="Hyperlink"/>
          </w:rPr>
          <w:t xml:space="preserve">Appendix H of </w:t>
        </w:r>
        <w:r w:rsidR="000F67B0" w:rsidRPr="000F67B0">
          <w:rPr>
            <w:rStyle w:val="Hyperlink"/>
          </w:rPr>
          <w:t>NICE’s d</w:t>
        </w:r>
        <w:r w:rsidR="004739C9" w:rsidRPr="000F67B0">
          <w:rPr>
            <w:rStyle w:val="Hyperlink"/>
          </w:rPr>
          <w:t>eveloping NICE guidelines: the manual</w:t>
        </w:r>
      </w:hyperlink>
      <w:r w:rsidR="004739C9">
        <w:t xml:space="preserve"> provides a comprehensive list of checklists that can be used to assess </w:t>
      </w:r>
      <w:r w:rsidR="004B5D91">
        <w:t xml:space="preserve">risk of bias or quality of </w:t>
      </w:r>
      <w:r w:rsidR="004739C9">
        <w:t>different study types.</w:t>
      </w:r>
    </w:p>
    <w:p w14:paraId="21A44544" w14:textId="0F24E09A" w:rsidR="00B76CF1" w:rsidRPr="007638A5" w:rsidRDefault="00B76CF1" w:rsidP="00A25CA4">
      <w:pPr>
        <w:pStyle w:val="NICEnormal"/>
        <w:ind w:left="720"/>
      </w:pPr>
      <w:r w:rsidRPr="007638A5">
        <w:t xml:space="preserve">NICE </w:t>
      </w:r>
      <w:r>
        <w:t>i</w:t>
      </w:r>
      <w:r w:rsidRPr="007638A5">
        <w:t xml:space="preserve">s developing </w:t>
      </w:r>
      <w:r w:rsidR="0053678A">
        <w:t>a framework</w:t>
      </w:r>
      <w:r w:rsidRPr="007638A5">
        <w:t xml:space="preserve"> on best practice in developing real</w:t>
      </w:r>
      <w:r w:rsidR="00C0478A">
        <w:t>-</w:t>
      </w:r>
      <w:r w:rsidRPr="007638A5">
        <w:t>world evidence</w:t>
      </w:r>
      <w:r w:rsidR="00A25CA4">
        <w:t>, which</w:t>
      </w:r>
      <w:r w:rsidRPr="007638A5">
        <w:t xml:space="preserve"> is expected to publish in June 2022.</w:t>
      </w:r>
      <w:r w:rsidR="00A25CA4">
        <w:t xml:space="preserve"> </w:t>
      </w:r>
    </w:p>
    <w:p w14:paraId="754F8262" w14:textId="43BBA7A0" w:rsidR="0088082B" w:rsidRPr="00F935BF" w:rsidRDefault="0088082B" w:rsidP="00BD594A">
      <w:pPr>
        <w:pStyle w:val="NICEnormal"/>
        <w:ind w:left="720"/>
        <w:rPr>
          <w:b/>
          <w:bCs/>
        </w:rPr>
      </w:pPr>
      <w:r w:rsidRPr="00F935BF">
        <w:rPr>
          <w:b/>
          <w:bCs/>
        </w:rPr>
        <w:t xml:space="preserve">Effectiveness of DHTs </w:t>
      </w:r>
      <w:r w:rsidR="00A25CA4">
        <w:rPr>
          <w:b/>
          <w:bCs/>
        </w:rPr>
        <w:t>that</w:t>
      </w:r>
      <w:r w:rsidR="00A25CA4" w:rsidRPr="00F935BF">
        <w:rPr>
          <w:b/>
          <w:bCs/>
        </w:rPr>
        <w:t xml:space="preserve"> </w:t>
      </w:r>
      <w:r w:rsidRPr="00F935BF">
        <w:rPr>
          <w:b/>
          <w:bCs/>
        </w:rPr>
        <w:t>inform clinical management</w:t>
      </w:r>
    </w:p>
    <w:p w14:paraId="60E51564" w14:textId="610C8D88" w:rsidR="00A25CA4" w:rsidRDefault="00A25CA4" w:rsidP="00A25CA4">
      <w:pPr>
        <w:pStyle w:val="NICEnormal"/>
        <w:ind w:left="720"/>
      </w:pPr>
      <w:r>
        <w:t xml:space="preserve">Evidence </w:t>
      </w:r>
      <w:r w:rsidR="00501138">
        <w:t xml:space="preserve">to support the claimed benefits of the DHT </w:t>
      </w:r>
      <w:r>
        <w:t xml:space="preserve">can include published or unpublished studies on the DHT and can include real-world evaluations of </w:t>
      </w:r>
      <w:r w:rsidR="00501138">
        <w:t>its</w:t>
      </w:r>
      <w:r>
        <w:t xml:space="preserve"> clinical utility.</w:t>
      </w:r>
      <w:r w:rsidR="00B41897">
        <w:t xml:space="preserve"> This could include a single</w:t>
      </w:r>
      <w:r w:rsidR="000F67B0">
        <w:t>-</w:t>
      </w:r>
      <w:r w:rsidR="00B41897">
        <w:t>arm study done to support regulatory requirements.</w:t>
      </w:r>
    </w:p>
    <w:p w14:paraId="59CCB5EA" w14:textId="55AA3575" w:rsidR="0088082B" w:rsidRPr="00F935BF" w:rsidRDefault="0088082B" w:rsidP="00BD594A">
      <w:pPr>
        <w:pStyle w:val="NICEnormal"/>
        <w:ind w:left="720"/>
        <w:rPr>
          <w:b/>
          <w:bCs/>
        </w:rPr>
      </w:pPr>
      <w:r w:rsidRPr="00F935BF">
        <w:rPr>
          <w:b/>
          <w:bCs/>
        </w:rPr>
        <w:t xml:space="preserve">Effectiveness of DHTs </w:t>
      </w:r>
      <w:r w:rsidR="00A25CA4">
        <w:rPr>
          <w:b/>
          <w:bCs/>
        </w:rPr>
        <w:t>that</w:t>
      </w:r>
      <w:r w:rsidRPr="00F935BF">
        <w:rPr>
          <w:b/>
          <w:bCs/>
        </w:rPr>
        <w:t xml:space="preserve"> drive clinical management</w:t>
      </w:r>
    </w:p>
    <w:p w14:paraId="45337D98" w14:textId="7DD1A3DD" w:rsidR="00501138" w:rsidRDefault="0042505F" w:rsidP="00234BBA">
      <w:pPr>
        <w:pStyle w:val="NICEnormal"/>
        <w:ind w:left="720"/>
      </w:pPr>
      <w:r>
        <w:t xml:space="preserve">The evidence should include </w:t>
      </w:r>
      <w:r w:rsidR="00B60A54">
        <w:t>1 or more h</w:t>
      </w:r>
      <w:r w:rsidR="0088082B" w:rsidRPr="007638A5">
        <w:t>igh-quality studies to support the claimed benefits</w:t>
      </w:r>
      <w:r w:rsidR="00B60A54">
        <w:t>,</w:t>
      </w:r>
      <w:r w:rsidR="0088082B" w:rsidRPr="007638A5">
        <w:t xml:space="preserve"> done in a setting relevant to the UK health and social care system</w:t>
      </w:r>
      <w:r w:rsidR="00B60A54">
        <w:t>.</w:t>
      </w:r>
      <w:r w:rsidR="00234BBA">
        <w:t xml:space="preserve"> </w:t>
      </w:r>
    </w:p>
    <w:p w14:paraId="1D6BACD3" w14:textId="6E8857BC" w:rsidR="0088082B" w:rsidRPr="007638A5" w:rsidRDefault="00B60A54" w:rsidP="00BD594A">
      <w:pPr>
        <w:pStyle w:val="NICEnormal"/>
        <w:ind w:left="720"/>
      </w:pPr>
      <w:r>
        <w:t>This could include</w:t>
      </w:r>
      <w:r w:rsidR="0088082B" w:rsidRPr="007638A5">
        <w:t>:</w:t>
      </w:r>
    </w:p>
    <w:p w14:paraId="46D1D3D3" w14:textId="6025AE9E" w:rsidR="0088082B" w:rsidRDefault="0088082B" w:rsidP="00BD594A">
      <w:pPr>
        <w:pStyle w:val="Bulletleft1"/>
        <w:numPr>
          <w:ilvl w:val="0"/>
          <w:numId w:val="17"/>
        </w:numPr>
      </w:pPr>
      <w:r w:rsidRPr="007638A5">
        <w:t>interventional studies</w:t>
      </w:r>
    </w:p>
    <w:p w14:paraId="7AB80FD4" w14:textId="5A258652" w:rsidR="0088082B" w:rsidRPr="007638A5" w:rsidRDefault="00F67752" w:rsidP="00BD594A">
      <w:pPr>
        <w:pStyle w:val="Bulletleft1"/>
        <w:numPr>
          <w:ilvl w:val="0"/>
          <w:numId w:val="17"/>
        </w:numPr>
      </w:pPr>
      <w:r w:rsidRPr="00AF6E34">
        <w:t>p</w:t>
      </w:r>
      <w:r w:rsidR="00A92ECD" w:rsidRPr="00AF6E34">
        <w:t>rospective</w:t>
      </w:r>
      <w:r w:rsidR="00A92ECD">
        <w:t xml:space="preserve"> observational studies</w:t>
      </w:r>
      <w:r w:rsidR="000046EC">
        <w:t xml:space="preserve"> (including real-world evidence) </w:t>
      </w:r>
    </w:p>
    <w:p w14:paraId="1206F7F8" w14:textId="71AEF2ED" w:rsidR="000F67B0" w:rsidRDefault="0088082B" w:rsidP="000F67B0">
      <w:pPr>
        <w:pStyle w:val="Bulletleft1"/>
        <w:numPr>
          <w:ilvl w:val="1"/>
          <w:numId w:val="12"/>
        </w:numPr>
        <w:ind w:left="1276"/>
      </w:pPr>
      <w:r w:rsidRPr="007638A5">
        <w:t xml:space="preserve">test accuracy studies, using an appropriate reference standard </w:t>
      </w:r>
    </w:p>
    <w:p w14:paraId="0244317A" w14:textId="1C832E42" w:rsidR="0088082B" w:rsidRPr="007638A5" w:rsidRDefault="0088082B" w:rsidP="00BD594A">
      <w:pPr>
        <w:pStyle w:val="Bulletleft1last"/>
        <w:numPr>
          <w:ilvl w:val="0"/>
          <w:numId w:val="17"/>
        </w:numPr>
      </w:pPr>
      <w:r w:rsidRPr="007638A5">
        <w:t>a concordance study (to show agreement with current</w:t>
      </w:r>
      <w:r w:rsidR="00F9052E">
        <w:t>ly</w:t>
      </w:r>
      <w:r w:rsidRPr="007638A5">
        <w:t xml:space="preserve"> </w:t>
      </w:r>
      <w:r w:rsidR="00F9052E">
        <w:t>used tests</w:t>
      </w:r>
      <w:r w:rsidRPr="007638A5">
        <w:t>)</w:t>
      </w:r>
      <w:r w:rsidR="00F9647D">
        <w:t>.</w:t>
      </w:r>
    </w:p>
    <w:p w14:paraId="429D2FB4" w14:textId="6CF637ED" w:rsidR="00216C73" w:rsidRPr="007638A5" w:rsidRDefault="00A92ECD" w:rsidP="00991A44">
      <w:pPr>
        <w:pStyle w:val="NICEnormal"/>
        <w:ind w:left="720"/>
      </w:pPr>
      <w:r>
        <w:t>Retrospective studies can be useful in addition to evidence from prospective studies</w:t>
      </w:r>
      <w:r w:rsidR="000046EC">
        <w:t xml:space="preserve">. </w:t>
      </w:r>
    </w:p>
    <w:p w14:paraId="3FEFAE8E" w14:textId="3CCC7E54" w:rsidR="0088082B" w:rsidRPr="00F935BF" w:rsidRDefault="0088082B" w:rsidP="00BD594A">
      <w:pPr>
        <w:pStyle w:val="NICEnormal"/>
        <w:ind w:left="720"/>
        <w:rPr>
          <w:b/>
          <w:bCs/>
        </w:rPr>
      </w:pPr>
      <w:r w:rsidRPr="00F935BF">
        <w:rPr>
          <w:b/>
          <w:bCs/>
        </w:rPr>
        <w:t>Effectiveness of DHTs t</w:t>
      </w:r>
      <w:r w:rsidR="00A25CA4">
        <w:rPr>
          <w:b/>
          <w:bCs/>
        </w:rPr>
        <w:t>hat</w:t>
      </w:r>
      <w:r w:rsidRPr="00F935BF">
        <w:rPr>
          <w:b/>
          <w:bCs/>
        </w:rPr>
        <w:t xml:space="preserve"> treat a specific condition</w:t>
      </w:r>
    </w:p>
    <w:p w14:paraId="69086354" w14:textId="77407AA1" w:rsidR="0088082B" w:rsidRPr="007638A5" w:rsidRDefault="000F67B0" w:rsidP="00BD594A">
      <w:pPr>
        <w:pStyle w:val="NICEnormal"/>
        <w:ind w:left="720"/>
      </w:pPr>
      <w:r>
        <w:t>One</w:t>
      </w:r>
      <w:r w:rsidR="00B60A54">
        <w:t xml:space="preserve"> or more h</w:t>
      </w:r>
      <w:r w:rsidR="0088082B" w:rsidRPr="007638A5">
        <w:t>igh-quality intervention</w:t>
      </w:r>
      <w:r w:rsidR="005D700B">
        <w:t>al</w:t>
      </w:r>
      <w:r w:rsidR="0088082B" w:rsidRPr="007638A5">
        <w:t xml:space="preserve"> studies (experimental or quasi-experimental design) to support the claimed benefits</w:t>
      </w:r>
      <w:r w:rsidR="00B60A54">
        <w:t xml:space="preserve"> of the DHT, done </w:t>
      </w:r>
      <w:r w:rsidR="0088082B" w:rsidRPr="007638A5">
        <w:t xml:space="preserve">in a setting relevant to the UK health and social care system </w:t>
      </w:r>
      <w:r w:rsidR="00F9647D">
        <w:t xml:space="preserve">and </w:t>
      </w:r>
      <w:r w:rsidR="0088082B" w:rsidRPr="007638A5">
        <w:t>show</w:t>
      </w:r>
      <w:r w:rsidR="00577D81">
        <w:t>ing</w:t>
      </w:r>
      <w:r w:rsidR="0088082B" w:rsidRPr="007638A5">
        <w:t xml:space="preserve"> improvements in relevant outcomes, such as:</w:t>
      </w:r>
    </w:p>
    <w:p w14:paraId="01D771B3" w14:textId="06D87ADE" w:rsidR="0088082B" w:rsidRPr="007638A5" w:rsidRDefault="00F9647D" w:rsidP="00873B61">
      <w:pPr>
        <w:pStyle w:val="Bulletleft1"/>
        <w:numPr>
          <w:ilvl w:val="0"/>
          <w:numId w:val="17"/>
        </w:numPr>
      </w:pPr>
      <w:r>
        <w:t>c</w:t>
      </w:r>
      <w:r w:rsidR="0088082B" w:rsidRPr="007638A5">
        <w:t>linically relevant outcomes</w:t>
      </w:r>
    </w:p>
    <w:p w14:paraId="41318DE2" w14:textId="39EE38D1" w:rsidR="0088082B" w:rsidRPr="007638A5" w:rsidRDefault="00F9647D" w:rsidP="00873B61">
      <w:pPr>
        <w:pStyle w:val="Bulletleft1last"/>
        <w:numPr>
          <w:ilvl w:val="0"/>
          <w:numId w:val="17"/>
        </w:numPr>
      </w:pPr>
      <w:r>
        <w:t>p</w:t>
      </w:r>
      <w:r w:rsidR="0088082B" w:rsidRPr="007638A5">
        <w:t>atient-relevant outcomes</w:t>
      </w:r>
      <w:r>
        <w:t>.</w:t>
      </w:r>
    </w:p>
    <w:p w14:paraId="251CF73D" w14:textId="03C3A141" w:rsidR="0088082B" w:rsidRPr="007638A5" w:rsidRDefault="0088082B" w:rsidP="00873B61">
      <w:pPr>
        <w:pStyle w:val="NICEnormal"/>
        <w:ind w:left="720"/>
      </w:pPr>
      <w:r w:rsidRPr="007638A5">
        <w:t xml:space="preserve">The choice of study design should be appropriate for the intended </w:t>
      </w:r>
      <w:r w:rsidR="004B11F1">
        <w:t>purpose</w:t>
      </w:r>
      <w:r w:rsidR="004B11F1" w:rsidRPr="007638A5">
        <w:t xml:space="preserve"> </w:t>
      </w:r>
      <w:r w:rsidRPr="007638A5">
        <w:t>of the DHT. Randomised controlled trials would be preferrable where this study design is appropriate.</w:t>
      </w:r>
    </w:p>
    <w:p w14:paraId="6345AB5C" w14:textId="2AFCD342" w:rsidR="0088082B" w:rsidRPr="007638A5" w:rsidRDefault="0088082B" w:rsidP="00873B61">
      <w:pPr>
        <w:pStyle w:val="NICEnormal"/>
        <w:ind w:left="720"/>
      </w:pPr>
      <w:r w:rsidRPr="007638A5">
        <w:t>The comparator should be a care option that reflect</w:t>
      </w:r>
      <w:r w:rsidR="00F9647D">
        <w:t xml:space="preserve">s </w:t>
      </w:r>
      <w:r w:rsidRPr="007638A5">
        <w:t>the current NHS care pathway, such as a commonly used active intervention.</w:t>
      </w:r>
    </w:p>
    <w:p w14:paraId="02CBDE37" w14:textId="659EF99D" w:rsidR="0088082B" w:rsidRPr="007638A5" w:rsidRDefault="0088082B" w:rsidP="00873B61">
      <w:pPr>
        <w:pStyle w:val="NICEnormal"/>
        <w:ind w:left="720"/>
      </w:pPr>
      <w:r w:rsidRPr="007638A5">
        <w:t>User satisfaction and engagement measures may also be useful.</w:t>
      </w:r>
    </w:p>
    <w:p w14:paraId="621885C5" w14:textId="77777777" w:rsidR="0088082B" w:rsidRPr="00F935BF" w:rsidRDefault="0088082B" w:rsidP="00873B61">
      <w:pPr>
        <w:pStyle w:val="NICEnormal"/>
        <w:ind w:left="720"/>
        <w:rPr>
          <w:b/>
          <w:bCs/>
        </w:rPr>
      </w:pPr>
      <w:r w:rsidRPr="00F935BF">
        <w:rPr>
          <w:b/>
          <w:bCs/>
        </w:rPr>
        <w:t>Performance of DHTs that diagnose a specific condition</w:t>
      </w:r>
    </w:p>
    <w:p w14:paraId="75601715" w14:textId="074ACAF5" w:rsidR="00D21C71" w:rsidRPr="007638A5" w:rsidRDefault="00BE264C" w:rsidP="00D21C71">
      <w:pPr>
        <w:pStyle w:val="NICEnormal"/>
        <w:ind w:left="720"/>
      </w:pPr>
      <w:r>
        <w:t>One</w:t>
      </w:r>
      <w:r w:rsidR="00577D81">
        <w:t xml:space="preserve"> or more h</w:t>
      </w:r>
      <w:r w:rsidR="0088082B" w:rsidRPr="007638A5">
        <w:t>igh</w:t>
      </w:r>
      <w:r w:rsidR="00F9647D">
        <w:t>-</w:t>
      </w:r>
      <w:r w:rsidR="0088082B" w:rsidRPr="007638A5">
        <w:t>quality test accuracy studies, using an appropriate reference standard, or a concordance study</w:t>
      </w:r>
      <w:r w:rsidR="00577D81">
        <w:t xml:space="preserve"> </w:t>
      </w:r>
      <w:r w:rsidR="0088082B" w:rsidRPr="007638A5">
        <w:t>to show agreement with current practice</w:t>
      </w:r>
      <w:r w:rsidR="00F9647D">
        <w:t>.</w:t>
      </w:r>
    </w:p>
    <w:p w14:paraId="2356518C" w14:textId="3241F4E5" w:rsidR="0088082B" w:rsidRPr="007638A5" w:rsidRDefault="0088082B" w:rsidP="00873B61">
      <w:pPr>
        <w:pStyle w:val="NICEnormal"/>
        <w:ind w:left="720"/>
      </w:pPr>
      <w:r w:rsidRPr="007638A5">
        <w:t xml:space="preserve">If </w:t>
      </w:r>
      <w:r w:rsidR="008C5476" w:rsidRPr="00AF6E34">
        <w:t>the test provided by the diagnostic DHT</w:t>
      </w:r>
      <w:r w:rsidRPr="007638A5">
        <w:t xml:space="preserve"> is </w:t>
      </w:r>
      <w:r w:rsidR="008C5476" w:rsidRPr="00AF6E34">
        <w:t xml:space="preserve">new to the clinical pathway and </w:t>
      </w:r>
      <w:r w:rsidRPr="007638A5">
        <w:t xml:space="preserve">no </w:t>
      </w:r>
      <w:r w:rsidR="008C5476" w:rsidRPr="00AF6E34">
        <w:t>other similar tests exist for comparison</w:t>
      </w:r>
      <w:r w:rsidR="00F9647D">
        <w:t>,</w:t>
      </w:r>
      <w:r w:rsidRPr="007638A5">
        <w:t xml:space="preserve"> show a high-quality clinical study showing clinical consequences of the diagnosis.</w:t>
      </w:r>
    </w:p>
    <w:p w14:paraId="55099AB8" w14:textId="4604E988" w:rsidR="004C27E4" w:rsidRPr="007638A5" w:rsidRDefault="004C27E4" w:rsidP="005E31F3">
      <w:pPr>
        <w:pStyle w:val="Heading3"/>
        <w:numPr>
          <w:ilvl w:val="0"/>
          <w:numId w:val="14"/>
        </w:numPr>
      </w:pPr>
      <w:bookmarkStart w:id="68" w:name="_Standard_1314:_additional"/>
      <w:bookmarkEnd w:id="68"/>
      <w:r w:rsidRPr="007638A5">
        <w:t xml:space="preserve">Standard </w:t>
      </w:r>
      <w:r w:rsidR="002C2331" w:rsidRPr="007638A5">
        <w:t>1</w:t>
      </w:r>
      <w:r w:rsidR="002C2331">
        <w:t>4</w:t>
      </w:r>
      <w:r w:rsidRPr="007638A5">
        <w:t>: additional evidence for critical conditions or functions</w:t>
      </w:r>
    </w:p>
    <w:p w14:paraId="6954CC72" w14:textId="4B5D159B" w:rsidR="00FC6BA7" w:rsidRPr="007638A5" w:rsidRDefault="00630110" w:rsidP="00577D81">
      <w:pPr>
        <w:pStyle w:val="NICEnormal"/>
        <w:ind w:left="720"/>
        <w:rPr>
          <w:lang w:eastAsia="en-GB"/>
        </w:rPr>
      </w:pPr>
      <w:r w:rsidRPr="007638A5">
        <w:rPr>
          <w:lang w:eastAsia="en-GB"/>
        </w:rPr>
        <w:t>Applies to DHTs in C.</w:t>
      </w:r>
    </w:p>
    <w:p w14:paraId="35ABA238" w14:textId="457FD6D7" w:rsidR="00630110" w:rsidRPr="007638A5" w:rsidRDefault="00630110" w:rsidP="00577D81">
      <w:pPr>
        <w:pStyle w:val="Heading4"/>
        <w:ind w:left="720"/>
      </w:pPr>
      <w:bookmarkStart w:id="69" w:name="_Information_that_can_12"/>
      <w:bookmarkEnd w:id="69"/>
      <w:r w:rsidRPr="007638A5">
        <w:t>Information that can be used to meet standard</w:t>
      </w:r>
      <w:r w:rsidR="00EC1D67">
        <w:t xml:space="preserve"> 1</w:t>
      </w:r>
      <w:r w:rsidR="002C2331">
        <w:t>4</w:t>
      </w:r>
    </w:p>
    <w:p w14:paraId="0DD3AB8C" w14:textId="670F755D" w:rsidR="00213374" w:rsidRPr="007638A5" w:rsidRDefault="00213374" w:rsidP="00577D81">
      <w:pPr>
        <w:pStyle w:val="NICEnormal"/>
        <w:ind w:left="720"/>
      </w:pPr>
      <w:r w:rsidRPr="007638A5">
        <w:t xml:space="preserve">If the DHT is intended to be used for situations or conditions where accurate and/or timely diagnosis or treatment action is vital to avoid death, long-term disability or other serious deterioration of health, more evidence or better-quality evidence is required. </w:t>
      </w:r>
      <w:r w:rsidR="00193D65">
        <w:t>For DHTs intended to drive clinical management, this would mean an interventional study would be needed.</w:t>
      </w:r>
    </w:p>
    <w:p w14:paraId="0C68C3D3" w14:textId="77777777" w:rsidR="00213374" w:rsidRPr="007638A5" w:rsidRDefault="00213374" w:rsidP="00577D81">
      <w:pPr>
        <w:pStyle w:val="NICEnormal"/>
        <w:ind w:left="720"/>
      </w:pPr>
      <w:r w:rsidRPr="007638A5">
        <w:t xml:space="preserve">Additional evidence could include any well-designed studies or data in addition to those required for the 4 different functional groups in tier C. </w:t>
      </w:r>
    </w:p>
    <w:p w14:paraId="2A2D1E57" w14:textId="2F10211F" w:rsidR="00213374" w:rsidRPr="007638A5" w:rsidRDefault="00213374" w:rsidP="00577D81">
      <w:pPr>
        <w:pStyle w:val="NICEnormal"/>
        <w:ind w:left="720"/>
      </w:pPr>
      <w:r w:rsidRPr="007638A5">
        <w:t>This could be real</w:t>
      </w:r>
      <w:r w:rsidR="00962564">
        <w:t>-</w:t>
      </w:r>
      <w:r w:rsidRPr="007638A5">
        <w:t>world data, prospective or retrospective studies that can serve to reduce uncertainty about the performance of the DHT.</w:t>
      </w:r>
    </w:p>
    <w:p w14:paraId="6C816E44" w14:textId="155EC990" w:rsidR="004C27E4" w:rsidRPr="007638A5" w:rsidRDefault="004C27E4" w:rsidP="005E31F3">
      <w:pPr>
        <w:pStyle w:val="Heading3"/>
        <w:numPr>
          <w:ilvl w:val="0"/>
          <w:numId w:val="14"/>
        </w:numPr>
      </w:pPr>
      <w:bookmarkStart w:id="70" w:name="_Standard_1415:_show"/>
      <w:bookmarkEnd w:id="70"/>
      <w:r w:rsidRPr="007638A5">
        <w:t xml:space="preserve">Standard </w:t>
      </w:r>
      <w:r w:rsidR="002C2331" w:rsidRPr="007638A5">
        <w:t>1</w:t>
      </w:r>
      <w:r w:rsidR="002C2331">
        <w:t>5</w:t>
      </w:r>
      <w:r w:rsidRPr="007638A5">
        <w:t xml:space="preserve">: show </w:t>
      </w:r>
      <w:r w:rsidR="005C2634">
        <w:t>real-world evidence that</w:t>
      </w:r>
      <w:r w:rsidR="002E20AC">
        <w:t xml:space="preserve"> the</w:t>
      </w:r>
      <w:r w:rsidR="005C2634">
        <w:t xml:space="preserve"> claimed benefits can be realised </w:t>
      </w:r>
      <w:r w:rsidRPr="007638A5">
        <w:t>in practice</w:t>
      </w:r>
    </w:p>
    <w:p w14:paraId="3BF021EB" w14:textId="089D1CB9" w:rsidR="00FC6BA7" w:rsidRPr="007638A5" w:rsidRDefault="00630110" w:rsidP="000E1A50">
      <w:pPr>
        <w:pStyle w:val="NICEnormal"/>
        <w:ind w:left="720"/>
        <w:rPr>
          <w:lang w:eastAsia="en-GB"/>
        </w:rPr>
      </w:pPr>
      <w:r w:rsidRPr="007638A5">
        <w:rPr>
          <w:lang w:eastAsia="en-GB"/>
        </w:rPr>
        <w:t>Applies to DHTs in A, B and C.</w:t>
      </w:r>
    </w:p>
    <w:p w14:paraId="293CBDCD" w14:textId="70675DA5" w:rsidR="00630110" w:rsidRPr="007638A5" w:rsidRDefault="00630110" w:rsidP="000E1A50">
      <w:pPr>
        <w:pStyle w:val="Heading4"/>
        <w:ind w:left="720"/>
      </w:pPr>
      <w:bookmarkStart w:id="71" w:name="_Information_that_can_13"/>
      <w:bookmarkEnd w:id="71"/>
      <w:r w:rsidRPr="007638A5">
        <w:t>Information that can be used to meet standard</w:t>
      </w:r>
      <w:r w:rsidR="00F10511">
        <w:t xml:space="preserve"> 1</w:t>
      </w:r>
      <w:r w:rsidR="002C2331">
        <w:t>5</w:t>
      </w:r>
    </w:p>
    <w:p w14:paraId="4FFB9DE9" w14:textId="77777777" w:rsidR="00213374" w:rsidRPr="007638A5" w:rsidRDefault="00213374" w:rsidP="000E1A50">
      <w:pPr>
        <w:pStyle w:val="NICEnormal"/>
        <w:ind w:left="720"/>
      </w:pPr>
      <w:r w:rsidRPr="007638A5">
        <w:t xml:space="preserve">Evidence to show that the DHT has been successfully piloted in the UK health and social care system, showing that it is relevant to: </w:t>
      </w:r>
    </w:p>
    <w:p w14:paraId="4605DFCD" w14:textId="2B33F6E2" w:rsidR="00213374" w:rsidRPr="007638A5" w:rsidRDefault="00213374" w:rsidP="000E1A50">
      <w:pPr>
        <w:pStyle w:val="Bulletleft1"/>
        <w:numPr>
          <w:ilvl w:val="0"/>
          <w:numId w:val="17"/>
        </w:numPr>
      </w:pPr>
      <w:r w:rsidRPr="007638A5">
        <w:t xml:space="preserve">current service provision in the UK (for tier A DHTs) </w:t>
      </w:r>
      <w:r w:rsidRPr="000E1A50">
        <w:t>or</w:t>
      </w:r>
    </w:p>
    <w:p w14:paraId="6A67A1D3" w14:textId="77777777" w:rsidR="00213374" w:rsidRPr="007638A5" w:rsidRDefault="00213374" w:rsidP="006B4A33">
      <w:pPr>
        <w:pStyle w:val="Bulletleft1last"/>
        <w:numPr>
          <w:ilvl w:val="0"/>
          <w:numId w:val="17"/>
        </w:numPr>
      </w:pPr>
      <w:r w:rsidRPr="007638A5">
        <w:t xml:space="preserve">current best practice in the UK (for tier B and tier C DHTs). </w:t>
      </w:r>
    </w:p>
    <w:p w14:paraId="24B81124" w14:textId="488075F5" w:rsidR="00213374" w:rsidRPr="007638A5" w:rsidRDefault="00213374" w:rsidP="006B4A33">
      <w:pPr>
        <w:pStyle w:val="NICEnormal"/>
        <w:ind w:left="720"/>
      </w:pPr>
      <w:r w:rsidRPr="007638A5">
        <w:t>This may include a statement from pilot site(s) to confirm that during pilot testing</w:t>
      </w:r>
      <w:r w:rsidR="00BB06F7">
        <w:t>,</w:t>
      </w:r>
      <w:r w:rsidRPr="007638A5">
        <w:t xml:space="preserve"> the DHT</w:t>
      </w:r>
      <w:r w:rsidR="00BB06F7">
        <w:t>:</w:t>
      </w:r>
    </w:p>
    <w:p w14:paraId="447664B9" w14:textId="719140C1" w:rsidR="00213374" w:rsidRPr="007638A5" w:rsidRDefault="00213374" w:rsidP="000E1A50">
      <w:pPr>
        <w:pStyle w:val="Bulletleft1"/>
        <w:numPr>
          <w:ilvl w:val="0"/>
          <w:numId w:val="17"/>
        </w:numPr>
      </w:pPr>
      <w:r w:rsidRPr="007638A5">
        <w:t>was acceptable to users</w:t>
      </w:r>
    </w:p>
    <w:p w14:paraId="0D02F476" w14:textId="77777777" w:rsidR="00213374" w:rsidRPr="007638A5" w:rsidRDefault="00213374" w:rsidP="000E1A50">
      <w:pPr>
        <w:pStyle w:val="Bulletleft1"/>
        <w:numPr>
          <w:ilvl w:val="0"/>
          <w:numId w:val="17"/>
        </w:numPr>
      </w:pPr>
      <w:r w:rsidRPr="007638A5">
        <w:t>performed its intended purpose to the expected level</w:t>
      </w:r>
    </w:p>
    <w:p w14:paraId="456911E2" w14:textId="77777777" w:rsidR="00213374" w:rsidRPr="007638A5" w:rsidRDefault="00213374" w:rsidP="000E1A50">
      <w:pPr>
        <w:pStyle w:val="Bulletleft1"/>
        <w:numPr>
          <w:ilvl w:val="0"/>
          <w:numId w:val="17"/>
        </w:numPr>
      </w:pPr>
      <w:r w:rsidRPr="007638A5">
        <w:t>successfully integrated into current service provision or current best practice</w:t>
      </w:r>
    </w:p>
    <w:p w14:paraId="6ADFDBB9" w14:textId="364DCE12" w:rsidR="00213374" w:rsidRPr="007638A5" w:rsidRDefault="00213374" w:rsidP="000E1A50">
      <w:pPr>
        <w:pStyle w:val="Bulletleft1"/>
        <w:numPr>
          <w:ilvl w:val="0"/>
          <w:numId w:val="17"/>
        </w:numPr>
      </w:pPr>
      <w:r w:rsidRPr="007638A5">
        <w:t xml:space="preserve">caused no negative impacts on </w:t>
      </w:r>
      <w:r w:rsidR="00AC5EA6">
        <w:t>service user</w:t>
      </w:r>
      <w:r w:rsidRPr="007638A5">
        <w:t>s or services</w:t>
      </w:r>
    </w:p>
    <w:p w14:paraId="28FD3322" w14:textId="1A507FDE" w:rsidR="00213374" w:rsidRPr="007638A5" w:rsidRDefault="00BB06F7" w:rsidP="000E1A50">
      <w:pPr>
        <w:pStyle w:val="Bulletleft1"/>
        <w:numPr>
          <w:ilvl w:val="0"/>
          <w:numId w:val="17"/>
        </w:numPr>
      </w:pPr>
      <w:r>
        <w:t xml:space="preserve">showed </w:t>
      </w:r>
      <w:r w:rsidR="00213374" w:rsidRPr="007638A5">
        <w:t>improvements in outcomes (costs saved, efficiencies achieved, health and care improvements)</w:t>
      </w:r>
    </w:p>
    <w:p w14:paraId="149F5A9F" w14:textId="2A3A7285" w:rsidR="00213374" w:rsidRPr="007638A5" w:rsidRDefault="00BB06F7" w:rsidP="006B4A33">
      <w:pPr>
        <w:pStyle w:val="Bulletleft1last"/>
        <w:numPr>
          <w:ilvl w:val="0"/>
          <w:numId w:val="17"/>
        </w:numPr>
      </w:pPr>
      <w:r>
        <w:t xml:space="preserve">was used </w:t>
      </w:r>
      <w:r w:rsidR="00213374" w:rsidRPr="007638A5">
        <w:t>in line with expectation (who, how, for how long)</w:t>
      </w:r>
      <w:r>
        <w:t>.</w:t>
      </w:r>
    </w:p>
    <w:p w14:paraId="63DA1DF4" w14:textId="033A0AF4" w:rsidR="00213374" w:rsidRPr="007638A5" w:rsidRDefault="00213374" w:rsidP="006B4A33">
      <w:pPr>
        <w:pStyle w:val="NICEnormal"/>
        <w:ind w:left="720"/>
      </w:pPr>
      <w:r w:rsidRPr="007638A5">
        <w:t>For DHTs that are expected to have high costs or service impact (such as requiring significant service redesign)</w:t>
      </w:r>
      <w:r w:rsidR="00B005F8">
        <w:t>,</w:t>
      </w:r>
      <w:r w:rsidRPr="007638A5">
        <w:t xml:space="preserve"> then higher levels of evidence may help to reduce uncertainty. This could include larger</w:t>
      </w:r>
      <w:r w:rsidR="00B005F8">
        <w:t>-</w:t>
      </w:r>
      <w:r w:rsidRPr="007638A5">
        <w:t>scale studies or longer-term outcomes.</w:t>
      </w:r>
    </w:p>
    <w:p w14:paraId="41BC0ED4" w14:textId="535E8DA4" w:rsidR="00213374" w:rsidRPr="007638A5" w:rsidRDefault="00213374" w:rsidP="006B4A33">
      <w:pPr>
        <w:pStyle w:val="NICEnormal"/>
        <w:ind w:left="720"/>
      </w:pPr>
      <w:r w:rsidRPr="007638A5">
        <w:t xml:space="preserve">For DHTs whose performance may be affected by local deployment factors (such as DHTs using </w:t>
      </w:r>
      <w:r w:rsidR="00B005F8" w:rsidRPr="00B005F8">
        <w:t>artificial intelligence</w:t>
      </w:r>
      <w:r w:rsidRPr="007638A5">
        <w:t xml:space="preserve">), this may include deploying the DHT to run offline or evaluating it ‘in silent mode’. </w:t>
      </w:r>
    </w:p>
    <w:p w14:paraId="6691B826" w14:textId="77777777" w:rsidR="00213374" w:rsidRPr="007638A5" w:rsidRDefault="00213374" w:rsidP="006B4A33">
      <w:pPr>
        <w:pStyle w:val="NICEnormal"/>
        <w:ind w:left="720"/>
      </w:pPr>
      <w:r w:rsidRPr="007638A5">
        <w:t>Silent mode evaluations allow the DHT’s performance on local data inputs to be observed (but not used in care decisions), before the DHT is integrated into clinical or care pathways. This can show whether the DHT’s performance reaches the expected levels using input data generated in the local environment.</w:t>
      </w:r>
    </w:p>
    <w:p w14:paraId="3C701659" w14:textId="31BA0B04" w:rsidR="004C27E4" w:rsidRPr="007638A5" w:rsidRDefault="004C27E4" w:rsidP="005E31F3">
      <w:pPr>
        <w:pStyle w:val="Heading3"/>
        <w:numPr>
          <w:ilvl w:val="0"/>
          <w:numId w:val="14"/>
        </w:numPr>
      </w:pPr>
      <w:bookmarkStart w:id="72" w:name="_Standard_1516:_the"/>
      <w:bookmarkEnd w:id="72"/>
      <w:r w:rsidRPr="007638A5">
        <w:t xml:space="preserve">Standard </w:t>
      </w:r>
      <w:r w:rsidR="002C2331" w:rsidRPr="007638A5">
        <w:t>1</w:t>
      </w:r>
      <w:r w:rsidR="002C2331">
        <w:t>6</w:t>
      </w:r>
      <w:r w:rsidRPr="007638A5">
        <w:t xml:space="preserve">: the </w:t>
      </w:r>
      <w:r w:rsidR="00AC5EA6">
        <w:t>company</w:t>
      </w:r>
      <w:r w:rsidRPr="007638A5">
        <w:t xml:space="preserve"> and </w:t>
      </w:r>
      <w:r w:rsidR="00AC5EA6">
        <w:t>evaluator</w:t>
      </w:r>
      <w:r w:rsidRPr="007638A5">
        <w:t xml:space="preserve"> should agree a plan for measuring changes in the DHT’s performance over time</w:t>
      </w:r>
    </w:p>
    <w:p w14:paraId="7217BAA6" w14:textId="74EFB98B" w:rsidR="00FC6BA7" w:rsidRPr="007638A5" w:rsidRDefault="00FD684D" w:rsidP="006B4A33">
      <w:pPr>
        <w:pStyle w:val="NICEnormal"/>
        <w:ind w:left="720"/>
        <w:rPr>
          <w:lang w:eastAsia="en-GB"/>
        </w:rPr>
      </w:pPr>
      <w:r w:rsidRPr="007638A5">
        <w:rPr>
          <w:lang w:eastAsia="en-GB"/>
        </w:rPr>
        <w:t>Applies to DHTs in A, B and C.</w:t>
      </w:r>
    </w:p>
    <w:p w14:paraId="60892DF6" w14:textId="49456661" w:rsidR="00630110" w:rsidRPr="007638A5" w:rsidRDefault="00630110" w:rsidP="006B4A33">
      <w:pPr>
        <w:pStyle w:val="Heading4"/>
        <w:ind w:left="720"/>
      </w:pPr>
      <w:bookmarkStart w:id="73" w:name="_Information_that_can_14"/>
      <w:bookmarkEnd w:id="73"/>
      <w:r w:rsidRPr="007638A5">
        <w:t>Information that can be used to meet standard</w:t>
      </w:r>
      <w:r w:rsidR="00F10511">
        <w:t xml:space="preserve"> 1</w:t>
      </w:r>
      <w:r w:rsidR="002C2331">
        <w:t>6</w:t>
      </w:r>
    </w:p>
    <w:p w14:paraId="6455C27D" w14:textId="37A720EF" w:rsidR="00213374" w:rsidRPr="007638A5" w:rsidRDefault="00213374" w:rsidP="006B4A33">
      <w:pPr>
        <w:pStyle w:val="NICEnormal"/>
        <w:ind w:left="720"/>
      </w:pPr>
      <w:r w:rsidRPr="007638A5">
        <w:t>For DHTs whose performance is expected to change over time (such as DHTs that us</w:t>
      </w:r>
      <w:r w:rsidR="00A56B47">
        <w:t>e</w:t>
      </w:r>
      <w:r w:rsidRPr="007638A5">
        <w:t xml:space="preserve"> artificial intelligence or machine</w:t>
      </w:r>
      <w:r w:rsidR="00A56B47">
        <w:t>-</w:t>
      </w:r>
      <w:r w:rsidRPr="007638A5">
        <w:t>learning algorithms</w:t>
      </w:r>
      <w:r w:rsidR="00C64138">
        <w:t xml:space="preserve">, DHTs whose algorithm is updated in subsequent </w:t>
      </w:r>
      <w:r w:rsidR="00C64138" w:rsidRPr="00AF6E34">
        <w:t>version</w:t>
      </w:r>
      <w:r w:rsidR="00BE264C">
        <w:t>s</w:t>
      </w:r>
      <w:r w:rsidRPr="007638A5">
        <w:t>)</w:t>
      </w:r>
      <w:r w:rsidR="00A56B47">
        <w:t>,</w:t>
      </w:r>
      <w:r w:rsidRPr="007638A5">
        <w:t xml:space="preserve"> the </w:t>
      </w:r>
      <w:r w:rsidR="00D10E7D" w:rsidRPr="00D10E7D">
        <w:t>company</w:t>
      </w:r>
      <w:r w:rsidR="00D10E7D" w:rsidRPr="00D10E7D" w:rsidDel="00D10E7D">
        <w:t xml:space="preserve"> </w:t>
      </w:r>
      <w:r w:rsidRPr="007638A5">
        <w:t xml:space="preserve">and </w:t>
      </w:r>
      <w:r w:rsidR="00AC5EA6">
        <w:t>evaluator</w:t>
      </w:r>
      <w:r w:rsidRPr="007638A5">
        <w:t xml:space="preserve"> should agree</w:t>
      </w:r>
      <w:r w:rsidR="00A56B47">
        <w:t xml:space="preserve"> on </w:t>
      </w:r>
      <w:r w:rsidRPr="007638A5">
        <w:t xml:space="preserve">post-deployment reporting of changes in performance. </w:t>
      </w:r>
    </w:p>
    <w:p w14:paraId="49131086" w14:textId="77777777" w:rsidR="00213374" w:rsidRPr="007638A5" w:rsidRDefault="00213374" w:rsidP="006B4A33">
      <w:pPr>
        <w:pStyle w:val="NICEnormal"/>
        <w:ind w:left="720"/>
      </w:pPr>
      <w:r w:rsidRPr="007638A5">
        <w:t>This may include:</w:t>
      </w:r>
    </w:p>
    <w:p w14:paraId="7B6DB9B8" w14:textId="35D1D437" w:rsidR="00213374" w:rsidRPr="007638A5" w:rsidRDefault="00A56B47" w:rsidP="000E1A50">
      <w:pPr>
        <w:pStyle w:val="Bulletleft1"/>
        <w:numPr>
          <w:ilvl w:val="0"/>
          <w:numId w:val="17"/>
        </w:numPr>
      </w:pPr>
      <w:proofErr w:type="gramStart"/>
      <w:r>
        <w:t>f</w:t>
      </w:r>
      <w:r w:rsidR="00213374" w:rsidRPr="007638A5">
        <w:t>uture plans</w:t>
      </w:r>
      <w:proofErr w:type="gramEnd"/>
      <w:r w:rsidR="00213374" w:rsidRPr="007638A5">
        <w:t xml:space="preserve"> for updating the DHT, including how regularly the algorithms are expected to retrain</w:t>
      </w:r>
    </w:p>
    <w:p w14:paraId="3B7ACE44" w14:textId="750C4A50" w:rsidR="00213374" w:rsidRPr="007638A5" w:rsidRDefault="006D77B2" w:rsidP="000E1A50">
      <w:pPr>
        <w:pStyle w:val="Bulletleft1"/>
        <w:numPr>
          <w:ilvl w:val="0"/>
          <w:numId w:val="17"/>
        </w:numPr>
      </w:pPr>
      <w:r>
        <w:t>t</w:t>
      </w:r>
      <w:r w:rsidR="00213374" w:rsidRPr="007638A5">
        <w:t>he sources of retraining data</w:t>
      </w:r>
      <w:r w:rsidR="002E20AC">
        <w:t>,</w:t>
      </w:r>
      <w:r w:rsidR="00213374" w:rsidRPr="007638A5">
        <w:t xml:space="preserve"> and </w:t>
      </w:r>
      <w:r w:rsidR="002E20AC">
        <w:t>how the quality of this</w:t>
      </w:r>
      <w:r w:rsidR="00213374" w:rsidRPr="007638A5">
        <w:t xml:space="preserve"> data</w:t>
      </w:r>
      <w:r w:rsidR="002E20AC">
        <w:t xml:space="preserve"> will be assessed</w:t>
      </w:r>
    </w:p>
    <w:p w14:paraId="7147DB72" w14:textId="68571092" w:rsidR="00213374" w:rsidRPr="007638A5" w:rsidRDefault="006D77B2" w:rsidP="000E1A50">
      <w:pPr>
        <w:pStyle w:val="Bulletleft1"/>
        <w:numPr>
          <w:ilvl w:val="0"/>
          <w:numId w:val="17"/>
        </w:numPr>
      </w:pPr>
      <w:r>
        <w:t>p</w:t>
      </w:r>
      <w:r w:rsidR="00213374" w:rsidRPr="007638A5">
        <w:t>rocesses in place for measuring performance over time, to detect any impacts of planned changes or environmental factors that may impact performance</w:t>
      </w:r>
    </w:p>
    <w:p w14:paraId="6CBA8EF6" w14:textId="6F23ABB2" w:rsidR="00213374" w:rsidRPr="007638A5" w:rsidRDefault="006D77B2" w:rsidP="000E1A50">
      <w:pPr>
        <w:pStyle w:val="Bulletleft1"/>
        <w:numPr>
          <w:ilvl w:val="0"/>
          <w:numId w:val="17"/>
        </w:numPr>
      </w:pPr>
      <w:r>
        <w:t>p</w:t>
      </w:r>
      <w:r w:rsidR="00213374" w:rsidRPr="007638A5">
        <w:t>rocesses in place to detect decreasing performance in certain groups of people over time</w:t>
      </w:r>
    </w:p>
    <w:p w14:paraId="4C0B5898" w14:textId="467EB2C4" w:rsidR="00213374" w:rsidRPr="007638A5" w:rsidRDefault="006D77B2" w:rsidP="000E1A50">
      <w:pPr>
        <w:pStyle w:val="Bulletleft1"/>
        <w:numPr>
          <w:ilvl w:val="0"/>
          <w:numId w:val="17"/>
        </w:numPr>
      </w:pPr>
      <w:r>
        <w:t>w</w:t>
      </w:r>
      <w:r w:rsidR="00213374" w:rsidRPr="007638A5">
        <w:t>hether there is an independent overview process for reviewing changes in performance</w:t>
      </w:r>
    </w:p>
    <w:p w14:paraId="63E906A2" w14:textId="788CB2EF" w:rsidR="00FD684D" w:rsidRDefault="006D77B2" w:rsidP="006B4A33">
      <w:pPr>
        <w:pStyle w:val="Bulletleft1last"/>
        <w:numPr>
          <w:ilvl w:val="0"/>
          <w:numId w:val="17"/>
        </w:numPr>
      </w:pPr>
      <w:r>
        <w:t>a</w:t>
      </w:r>
      <w:r w:rsidR="00213374" w:rsidRPr="007638A5">
        <w:t xml:space="preserve">n agreement on how and when changes in performance should be reported to commissioners and users (patients, carers, </w:t>
      </w:r>
      <w:proofErr w:type="gramStart"/>
      <w:r w:rsidR="00213374" w:rsidRPr="007638A5">
        <w:t>health</w:t>
      </w:r>
      <w:proofErr w:type="gramEnd"/>
      <w:r w:rsidR="00213374" w:rsidRPr="007638A5">
        <w:t xml:space="preserve"> and care professionals)</w:t>
      </w:r>
      <w:r>
        <w:t>.</w:t>
      </w:r>
    </w:p>
    <w:p w14:paraId="72F0B6EF" w14:textId="02CFB48D" w:rsidR="004C27E4" w:rsidRPr="007638A5" w:rsidRDefault="00991A44" w:rsidP="005E31F3">
      <w:pPr>
        <w:pStyle w:val="Heading3"/>
        <w:numPr>
          <w:ilvl w:val="0"/>
          <w:numId w:val="14"/>
        </w:numPr>
      </w:pPr>
      <w:r>
        <w:t>S</w:t>
      </w:r>
      <w:r w:rsidR="004C27E4" w:rsidRPr="007638A5">
        <w:t>tandard 17: the DHT should comply with relevant safety and quality standards</w:t>
      </w:r>
    </w:p>
    <w:p w14:paraId="53848E14" w14:textId="0A5E6358" w:rsidR="00FC6BA7" w:rsidRPr="007638A5" w:rsidRDefault="00FD684D" w:rsidP="006B4A33">
      <w:pPr>
        <w:pStyle w:val="NICEnormal"/>
        <w:ind w:left="720"/>
        <w:rPr>
          <w:lang w:eastAsia="en-GB"/>
        </w:rPr>
      </w:pPr>
      <w:r w:rsidRPr="007638A5">
        <w:rPr>
          <w:lang w:eastAsia="en-GB"/>
        </w:rPr>
        <w:t>Applies to DHTs in A, B and C.</w:t>
      </w:r>
    </w:p>
    <w:p w14:paraId="3B10F355" w14:textId="64FE6086" w:rsidR="00630110" w:rsidRPr="007638A5" w:rsidRDefault="00630110" w:rsidP="006B4A33">
      <w:pPr>
        <w:pStyle w:val="Heading4"/>
        <w:ind w:left="720"/>
      </w:pPr>
      <w:bookmarkStart w:id="74" w:name="_Information_that_can_16"/>
      <w:bookmarkEnd w:id="74"/>
      <w:r w:rsidRPr="007638A5">
        <w:t>Information that can be used to meet standard</w:t>
      </w:r>
      <w:r w:rsidR="00F10511">
        <w:t xml:space="preserve"> 17</w:t>
      </w:r>
    </w:p>
    <w:p w14:paraId="56032A19" w14:textId="2577FC3A" w:rsidR="00213374" w:rsidRPr="007638A5" w:rsidRDefault="00D10E7D" w:rsidP="006B4A33">
      <w:pPr>
        <w:pStyle w:val="NICEnormal"/>
        <w:ind w:left="720"/>
      </w:pPr>
      <w:r>
        <w:t>C</w:t>
      </w:r>
      <w:r w:rsidRPr="00D10E7D">
        <w:t>ompan</w:t>
      </w:r>
      <w:r>
        <w:t>ies</w:t>
      </w:r>
      <w:r w:rsidRPr="00D10E7D" w:rsidDel="00D10E7D">
        <w:t xml:space="preserve"> </w:t>
      </w:r>
      <w:r w:rsidR="00213374" w:rsidRPr="007638A5">
        <w:t xml:space="preserve">should demonstrate that all safety and quality standards relevant to their DHT have been met. </w:t>
      </w:r>
    </w:p>
    <w:p w14:paraId="5272E722" w14:textId="77777777" w:rsidR="00213374" w:rsidRPr="007638A5" w:rsidRDefault="00213374" w:rsidP="006B4A33">
      <w:pPr>
        <w:pStyle w:val="NICEnormal"/>
        <w:ind w:left="720"/>
      </w:pPr>
      <w:r w:rsidRPr="007638A5">
        <w:t>Examples of standards that may apply to different DHTs include:</w:t>
      </w:r>
    </w:p>
    <w:p w14:paraId="1D19EC54" w14:textId="07140455" w:rsidR="00213374" w:rsidRPr="007638A5" w:rsidRDefault="00213374" w:rsidP="000E1A50">
      <w:pPr>
        <w:pStyle w:val="Bulletleft1"/>
        <w:numPr>
          <w:ilvl w:val="0"/>
          <w:numId w:val="17"/>
        </w:numPr>
      </w:pPr>
      <w:r w:rsidRPr="007638A5">
        <w:t>UKCA marking under the UK medical device regulations (</w:t>
      </w:r>
      <w:hyperlink r:id="rId33" w:history="1">
        <w:r w:rsidRPr="000E1A50">
          <w:t xml:space="preserve">MHRA provides </w:t>
        </w:r>
        <w:r w:rsidR="00E77F68" w:rsidRPr="000E1A50">
          <w:t>guidance on medical devices: software applications [apps]</w:t>
        </w:r>
      </w:hyperlink>
      <w:r w:rsidRPr="007638A5">
        <w:t>)</w:t>
      </w:r>
      <w:r w:rsidR="00E77F68">
        <w:t>.</w:t>
      </w:r>
    </w:p>
    <w:p w14:paraId="068C185A" w14:textId="29DC36AE" w:rsidR="00213374" w:rsidRPr="007638A5" w:rsidRDefault="00213374" w:rsidP="000E1A50">
      <w:pPr>
        <w:pStyle w:val="Bulletleft1"/>
        <w:numPr>
          <w:ilvl w:val="0"/>
          <w:numId w:val="17"/>
        </w:numPr>
      </w:pPr>
      <w:r w:rsidRPr="007638A5">
        <w:t xml:space="preserve">Regulation by the </w:t>
      </w:r>
      <w:hyperlink r:id="rId34" w:history="1">
        <w:r w:rsidRPr="000E1A50">
          <w:t>Care Quality Commission</w:t>
        </w:r>
      </w:hyperlink>
      <w:r w:rsidRPr="007638A5">
        <w:t xml:space="preserve"> for digital health services</w:t>
      </w:r>
      <w:r w:rsidR="00E77F68">
        <w:t>.</w:t>
      </w:r>
    </w:p>
    <w:p w14:paraId="478EF343" w14:textId="6487543D" w:rsidR="00213374" w:rsidRPr="007638A5" w:rsidRDefault="00213374" w:rsidP="000E1A50">
      <w:pPr>
        <w:pStyle w:val="Bulletleft1"/>
        <w:numPr>
          <w:ilvl w:val="0"/>
          <w:numId w:val="17"/>
        </w:numPr>
      </w:pPr>
      <w:r w:rsidRPr="007638A5">
        <w:t xml:space="preserve">Following regulations outlined in the </w:t>
      </w:r>
      <w:hyperlink r:id="rId35" w:history="1">
        <w:r w:rsidRPr="000E1A50">
          <w:t xml:space="preserve">UK </w:t>
        </w:r>
        <w:r w:rsidR="00E77F68" w:rsidRPr="000E1A50">
          <w:t>General Data Protection Regulation (</w:t>
        </w:r>
        <w:r w:rsidRPr="000E1A50">
          <w:t>GDPR</w:t>
        </w:r>
        <w:r w:rsidR="00E77F68" w:rsidRPr="000E1A50">
          <w:t>)</w:t>
        </w:r>
      </w:hyperlink>
      <w:r w:rsidR="00E77F68">
        <w:t>.</w:t>
      </w:r>
    </w:p>
    <w:p w14:paraId="52171E84" w14:textId="7ADCDE41" w:rsidR="00213374" w:rsidRPr="007638A5" w:rsidRDefault="00213374" w:rsidP="000E1A50">
      <w:pPr>
        <w:pStyle w:val="Bulletleft1"/>
        <w:numPr>
          <w:ilvl w:val="0"/>
          <w:numId w:val="17"/>
        </w:numPr>
      </w:pPr>
      <w:r w:rsidRPr="007638A5">
        <w:t xml:space="preserve">Registration with the </w:t>
      </w:r>
      <w:hyperlink r:id="rId36" w:history="1">
        <w:r w:rsidR="00256B8F" w:rsidRPr="00AF6E34">
          <w:t>I</w:t>
        </w:r>
        <w:r w:rsidRPr="00AF6E34">
          <w:t xml:space="preserve">nformation </w:t>
        </w:r>
        <w:r w:rsidR="00256B8F" w:rsidRPr="00AF6E34">
          <w:t>C</w:t>
        </w:r>
        <w:r w:rsidRPr="00AF6E34">
          <w:t xml:space="preserve">ommissioner’s </w:t>
        </w:r>
        <w:r w:rsidR="00256B8F" w:rsidRPr="00AF6E34">
          <w:t>O</w:t>
        </w:r>
        <w:r w:rsidRPr="00AF6E34">
          <w:t>ffice</w:t>
        </w:r>
      </w:hyperlink>
      <w:r w:rsidRPr="007638A5">
        <w:t xml:space="preserve"> as a data processor</w:t>
      </w:r>
      <w:r w:rsidR="00E77F68">
        <w:t>.</w:t>
      </w:r>
      <w:r w:rsidRPr="007638A5">
        <w:t xml:space="preserve"> </w:t>
      </w:r>
    </w:p>
    <w:p w14:paraId="5BFA8B3D" w14:textId="3AC21E69" w:rsidR="00213374" w:rsidRPr="007638A5" w:rsidRDefault="00213374" w:rsidP="000E1A50">
      <w:pPr>
        <w:pStyle w:val="Bulletleft1"/>
        <w:numPr>
          <w:ilvl w:val="0"/>
          <w:numId w:val="17"/>
        </w:numPr>
      </w:pPr>
      <w:r w:rsidRPr="007638A5">
        <w:t xml:space="preserve">For use in the NHS, DHTs may need to show compliance with </w:t>
      </w:r>
      <w:hyperlink r:id="rId37" w:history="1">
        <w:r w:rsidRPr="000E1A50">
          <w:t>the</w:t>
        </w:r>
        <w:r w:rsidR="00E77F68" w:rsidRPr="000E1A50">
          <w:t xml:space="preserve"> Digital Technology Assessment Criteria</w:t>
        </w:r>
      </w:hyperlink>
      <w:r w:rsidR="00E77F68">
        <w:t xml:space="preserve"> (DTAC)</w:t>
      </w:r>
      <w:r w:rsidRPr="007638A5">
        <w:t xml:space="preserve">, which includes </w:t>
      </w:r>
      <w:hyperlink r:id="rId38" w:history="1">
        <w:r w:rsidRPr="000E1A50">
          <w:t>DCB0129</w:t>
        </w:r>
      </w:hyperlink>
      <w:r w:rsidRPr="007638A5">
        <w:t xml:space="preserve"> and </w:t>
      </w:r>
      <w:hyperlink r:id="rId39" w:history="1">
        <w:r w:rsidRPr="000E1A50">
          <w:t>DCB0160</w:t>
        </w:r>
      </w:hyperlink>
      <w:r w:rsidRPr="007638A5">
        <w:t xml:space="preserve">, </w:t>
      </w:r>
      <w:hyperlink r:id="rId40" w:history="1">
        <w:r w:rsidRPr="000E1A50">
          <w:t>NHS Digital’s data security and protection toolkit</w:t>
        </w:r>
      </w:hyperlink>
      <w:r w:rsidR="00E77F68">
        <w:t xml:space="preserve"> and</w:t>
      </w:r>
      <w:r w:rsidRPr="007638A5">
        <w:t xml:space="preserve"> </w:t>
      </w:r>
      <w:hyperlink r:id="rId41" w:history="1">
        <w:r w:rsidRPr="000E1A50">
          <w:t>interoperability toolkit</w:t>
        </w:r>
      </w:hyperlink>
      <w:r w:rsidR="00E77F68">
        <w:t xml:space="preserve">, </w:t>
      </w:r>
      <w:r w:rsidRPr="007638A5">
        <w:t xml:space="preserve">and </w:t>
      </w:r>
      <w:hyperlink r:id="rId42" w:history="1">
        <w:r w:rsidRPr="000E1A50">
          <w:t>NHS service standard</w:t>
        </w:r>
      </w:hyperlink>
      <w:r w:rsidR="00E77F68">
        <w:t>.</w:t>
      </w:r>
    </w:p>
    <w:p w14:paraId="35BC8278" w14:textId="080F8534" w:rsidR="00213374" w:rsidRDefault="00213374" w:rsidP="000E1A50">
      <w:pPr>
        <w:pStyle w:val="Bulletleft1"/>
        <w:numPr>
          <w:ilvl w:val="0"/>
          <w:numId w:val="17"/>
        </w:numPr>
      </w:pPr>
      <w:r w:rsidRPr="007638A5">
        <w:t>Local information governance requirements including data protection impact assessments</w:t>
      </w:r>
      <w:r w:rsidR="00E77F68">
        <w:t>.</w:t>
      </w:r>
    </w:p>
    <w:p w14:paraId="5675C194" w14:textId="79418108" w:rsidR="00733FFD" w:rsidRPr="007638A5" w:rsidRDefault="00733FFD" w:rsidP="000E1A50">
      <w:pPr>
        <w:pStyle w:val="Bulletleft1"/>
        <w:numPr>
          <w:ilvl w:val="0"/>
          <w:numId w:val="17"/>
        </w:numPr>
      </w:pPr>
      <w:r>
        <w:t>ISO 13485 for quality management systems, ISO 11073 for personal health data</w:t>
      </w:r>
      <w:r w:rsidR="00BE264C">
        <w:t>.</w:t>
      </w:r>
    </w:p>
    <w:p w14:paraId="1BE6113C" w14:textId="441575EA" w:rsidR="00213374" w:rsidRPr="007638A5" w:rsidRDefault="003E2578" w:rsidP="006B4A33">
      <w:pPr>
        <w:pStyle w:val="Bulletleft1last"/>
        <w:numPr>
          <w:ilvl w:val="0"/>
          <w:numId w:val="17"/>
        </w:numPr>
      </w:pPr>
      <w:hyperlink r:id="rId43" w:history="1">
        <w:r w:rsidR="00213374" w:rsidRPr="006B4A33">
          <w:t>IEC 82304-1</w:t>
        </w:r>
      </w:hyperlink>
      <w:r w:rsidR="00213374" w:rsidRPr="007638A5">
        <w:t xml:space="preserve"> </w:t>
      </w:r>
      <w:r w:rsidR="00E77F68">
        <w:t xml:space="preserve">– </w:t>
      </w:r>
      <w:r w:rsidR="00213374" w:rsidRPr="007638A5">
        <w:t>a non-mandated standard. Compliance with this standard demonstrates safety and security for health software</w:t>
      </w:r>
      <w:r w:rsidR="00E77F68">
        <w:t>.</w:t>
      </w:r>
    </w:p>
    <w:p w14:paraId="0BBC6879" w14:textId="2772FB46" w:rsidR="00FC6BA7" w:rsidRPr="007638A5" w:rsidRDefault="00FC6BA7" w:rsidP="00F935BF">
      <w:pPr>
        <w:pStyle w:val="Heading2"/>
      </w:pPr>
      <w:bookmarkStart w:id="75" w:name="_Delivering_value"/>
      <w:bookmarkEnd w:id="75"/>
      <w:r w:rsidRPr="007638A5">
        <w:t>Delivering value</w:t>
      </w:r>
    </w:p>
    <w:p w14:paraId="3CAA9191" w14:textId="2E4EEE2E" w:rsidR="004C27E4" w:rsidRPr="007638A5" w:rsidRDefault="004C27E4" w:rsidP="005E31F3">
      <w:pPr>
        <w:pStyle w:val="Heading3"/>
        <w:numPr>
          <w:ilvl w:val="0"/>
          <w:numId w:val="14"/>
        </w:numPr>
      </w:pPr>
      <w:r w:rsidRPr="007638A5">
        <w:t>Standard 18: provide a budget impact analysis</w:t>
      </w:r>
    </w:p>
    <w:p w14:paraId="25141994" w14:textId="0FA6BBB0" w:rsidR="00FC6BA7" w:rsidRPr="007638A5" w:rsidRDefault="00FD684D" w:rsidP="006B4A33">
      <w:pPr>
        <w:pStyle w:val="NICEnormal"/>
        <w:ind w:left="720"/>
        <w:rPr>
          <w:lang w:eastAsia="en-GB"/>
        </w:rPr>
      </w:pPr>
      <w:r w:rsidRPr="007638A5">
        <w:rPr>
          <w:lang w:eastAsia="en-GB"/>
        </w:rPr>
        <w:t>Applies to DHTs in A, B and C.</w:t>
      </w:r>
    </w:p>
    <w:p w14:paraId="069BBC8C" w14:textId="0DC9D69D" w:rsidR="00630110" w:rsidRPr="007638A5" w:rsidRDefault="00630110" w:rsidP="006B4A33">
      <w:pPr>
        <w:pStyle w:val="Heading4"/>
        <w:ind w:left="720"/>
      </w:pPr>
      <w:bookmarkStart w:id="76" w:name="_Information_that_can_17"/>
      <w:bookmarkEnd w:id="76"/>
      <w:r w:rsidRPr="007638A5">
        <w:t>Information that can be used to meet standard</w:t>
      </w:r>
      <w:r w:rsidR="00F10511">
        <w:t xml:space="preserve"> 18</w:t>
      </w:r>
    </w:p>
    <w:p w14:paraId="2D596A0C" w14:textId="06596EB3" w:rsidR="00213374" w:rsidRPr="007638A5" w:rsidRDefault="00213374" w:rsidP="006B4A33">
      <w:pPr>
        <w:pStyle w:val="NICEnormal"/>
        <w:ind w:left="720"/>
      </w:pPr>
      <w:r w:rsidRPr="007638A5">
        <w:t xml:space="preserve">Provide a budget impact analysis relevant to the setting the DHT is used, </w:t>
      </w:r>
      <w:r w:rsidR="00C64BA4">
        <w:t xml:space="preserve">which </w:t>
      </w:r>
      <w:r w:rsidRPr="007638A5">
        <w:t>should include:</w:t>
      </w:r>
    </w:p>
    <w:p w14:paraId="5A4629FF" w14:textId="2FF87097" w:rsidR="00213374" w:rsidRPr="007638A5" w:rsidRDefault="00C64BA4" w:rsidP="000E1A50">
      <w:pPr>
        <w:pStyle w:val="Bulletleft1"/>
        <w:numPr>
          <w:ilvl w:val="0"/>
          <w:numId w:val="17"/>
        </w:numPr>
      </w:pPr>
      <w:r>
        <w:t>s</w:t>
      </w:r>
      <w:r w:rsidR="00213374" w:rsidRPr="007638A5">
        <w:t>ize of target population</w:t>
      </w:r>
    </w:p>
    <w:p w14:paraId="50C5FB18" w14:textId="69042719" w:rsidR="00213374" w:rsidRPr="007638A5" w:rsidRDefault="00C64BA4" w:rsidP="000E1A50">
      <w:pPr>
        <w:pStyle w:val="Bulletleft1"/>
        <w:numPr>
          <w:ilvl w:val="0"/>
          <w:numId w:val="17"/>
        </w:numPr>
      </w:pPr>
      <w:r>
        <w:t>a</w:t>
      </w:r>
      <w:r w:rsidR="00213374" w:rsidRPr="007638A5">
        <w:t>ll direct costs associated with the technology and implementing the technology</w:t>
      </w:r>
      <w:r>
        <w:t>,</w:t>
      </w:r>
      <w:r w:rsidR="00213374" w:rsidRPr="007638A5">
        <w:t xml:space="preserve"> including cost of the technology (purchasing, updating, maintenance), costs of staffing and training, costs of supportive IT infrastructure needed to implement the technology</w:t>
      </w:r>
    </w:p>
    <w:p w14:paraId="563EB14B" w14:textId="24BC6A5B" w:rsidR="00213374" w:rsidRDefault="00C64BA4" w:rsidP="000E1A50">
      <w:pPr>
        <w:pStyle w:val="Bulletleft1"/>
        <w:numPr>
          <w:ilvl w:val="0"/>
          <w:numId w:val="17"/>
        </w:numPr>
      </w:pPr>
      <w:r>
        <w:t>a</w:t>
      </w:r>
      <w:r w:rsidR="00213374" w:rsidRPr="007638A5">
        <w:t xml:space="preserve">ll direct costs associated with the comparator </w:t>
      </w:r>
    </w:p>
    <w:p w14:paraId="6B48FDEC" w14:textId="0DBBE1C7" w:rsidR="00637BDE" w:rsidRPr="007638A5" w:rsidRDefault="00F27845" w:rsidP="000E1A50">
      <w:pPr>
        <w:pStyle w:val="Bulletleft1"/>
        <w:numPr>
          <w:ilvl w:val="0"/>
          <w:numId w:val="17"/>
        </w:numPr>
      </w:pPr>
      <w:r w:rsidRPr="00AF6E34">
        <w:t xml:space="preserve">relevant </w:t>
      </w:r>
      <w:r w:rsidR="00637BDE">
        <w:t>indirect costs</w:t>
      </w:r>
      <w:r w:rsidR="00E549CC">
        <w:t xml:space="preserve"> associated with the technology and the comparator, reference test or current practice</w:t>
      </w:r>
    </w:p>
    <w:p w14:paraId="3E246177" w14:textId="0539A1E2" w:rsidR="00213374" w:rsidRPr="007638A5" w:rsidRDefault="00C64BA4" w:rsidP="00991A44">
      <w:pPr>
        <w:pStyle w:val="Bulletleft1last"/>
        <w:numPr>
          <w:ilvl w:val="1"/>
          <w:numId w:val="6"/>
        </w:numPr>
        <w:tabs>
          <w:tab w:val="clear" w:pos="1440"/>
          <w:tab w:val="num" w:pos="1276"/>
        </w:tabs>
        <w:ind w:hanging="502"/>
      </w:pPr>
      <w:r>
        <w:t>u</w:t>
      </w:r>
      <w:r w:rsidR="00213374" w:rsidRPr="007638A5">
        <w:t>ptake estimates</w:t>
      </w:r>
      <w:r>
        <w:t>.</w:t>
      </w:r>
    </w:p>
    <w:p w14:paraId="3DB98D8B" w14:textId="77777777" w:rsidR="00213374" w:rsidRPr="007638A5" w:rsidRDefault="00213374" w:rsidP="006B4A33">
      <w:pPr>
        <w:pStyle w:val="NICEnormal"/>
        <w:ind w:left="928"/>
      </w:pPr>
      <w:r w:rsidRPr="007638A5">
        <w:t xml:space="preserve">Estimates of resource use should include: </w:t>
      </w:r>
    </w:p>
    <w:p w14:paraId="3AC5D044" w14:textId="77777777" w:rsidR="006B7348" w:rsidRPr="00AF6E34" w:rsidRDefault="006B7348" w:rsidP="006B7348">
      <w:pPr>
        <w:pStyle w:val="Bulletleft1"/>
        <w:numPr>
          <w:ilvl w:val="0"/>
          <w:numId w:val="17"/>
        </w:numPr>
      </w:pPr>
      <w:r w:rsidRPr="00AF6E34">
        <w:t xml:space="preserve">length of hospital or care home stay </w:t>
      </w:r>
    </w:p>
    <w:p w14:paraId="51D39F43" w14:textId="3518D3E2" w:rsidR="006B7348" w:rsidRPr="00AF6E34" w:rsidRDefault="006B7348" w:rsidP="006B7348">
      <w:pPr>
        <w:pStyle w:val="Bulletleft1"/>
        <w:numPr>
          <w:ilvl w:val="0"/>
          <w:numId w:val="17"/>
        </w:numPr>
      </w:pPr>
      <w:r w:rsidRPr="00AF6E34">
        <w:t>number of hospitalisations</w:t>
      </w:r>
    </w:p>
    <w:p w14:paraId="3E91B005" w14:textId="77777777" w:rsidR="006B7348" w:rsidRPr="00AF6E34" w:rsidRDefault="006B7348" w:rsidP="006B7348">
      <w:pPr>
        <w:pStyle w:val="Bulletleft1"/>
        <w:numPr>
          <w:ilvl w:val="0"/>
          <w:numId w:val="17"/>
        </w:numPr>
      </w:pPr>
      <w:r w:rsidRPr="00AF6E34">
        <w:t>outpatient or primary care consultations</w:t>
      </w:r>
    </w:p>
    <w:p w14:paraId="51644526" w14:textId="77777777" w:rsidR="00213374" w:rsidRPr="007638A5" w:rsidRDefault="00213374" w:rsidP="00991A44">
      <w:pPr>
        <w:pStyle w:val="Bulletleft1last"/>
        <w:numPr>
          <w:ilvl w:val="1"/>
          <w:numId w:val="6"/>
        </w:numPr>
        <w:tabs>
          <w:tab w:val="clear" w:pos="1440"/>
          <w:tab w:val="num" w:pos="1276"/>
        </w:tabs>
        <w:ind w:hanging="502"/>
      </w:pPr>
      <w:r w:rsidRPr="007638A5">
        <w:t>changes in infrastructure, use and maintenance</w:t>
      </w:r>
    </w:p>
    <w:p w14:paraId="14BBD632" w14:textId="6FF6F414" w:rsidR="00213374" w:rsidRPr="007638A5" w:rsidRDefault="00213374" w:rsidP="006B4A33">
      <w:pPr>
        <w:pStyle w:val="NICEnormal"/>
        <w:ind w:left="928"/>
      </w:pPr>
      <w:r w:rsidRPr="007638A5">
        <w:t xml:space="preserve">Show that the </w:t>
      </w:r>
      <w:r w:rsidRPr="00991A44">
        <w:t>costs used</w:t>
      </w:r>
      <w:r w:rsidRPr="007638A5">
        <w:t xml:space="preserve"> are relevant to the UK health and care system </w:t>
      </w:r>
      <w:r w:rsidR="00C64BA4">
        <w:t xml:space="preserve">and </w:t>
      </w:r>
      <w:r w:rsidRPr="007638A5">
        <w:t xml:space="preserve">they should relate to NHS and personal social services resources. Suitable sources include: </w:t>
      </w:r>
    </w:p>
    <w:p w14:paraId="0514E5FA" w14:textId="77777777" w:rsidR="00213374" w:rsidRPr="007638A5" w:rsidRDefault="00213374" w:rsidP="000E1A50">
      <w:pPr>
        <w:pStyle w:val="Bulletleft1"/>
        <w:numPr>
          <w:ilvl w:val="0"/>
          <w:numId w:val="17"/>
        </w:numPr>
      </w:pPr>
      <w:r w:rsidRPr="007638A5">
        <w:t>NHS reference costs</w:t>
      </w:r>
    </w:p>
    <w:p w14:paraId="0DC768F0" w14:textId="620990D1" w:rsidR="00213374" w:rsidRPr="007638A5" w:rsidRDefault="00213374" w:rsidP="006B4A33">
      <w:pPr>
        <w:pStyle w:val="Bulletleft1last"/>
        <w:numPr>
          <w:ilvl w:val="0"/>
          <w:numId w:val="17"/>
        </w:numPr>
      </w:pPr>
      <w:r w:rsidRPr="007638A5">
        <w:t>national tariff</w:t>
      </w:r>
      <w:r w:rsidR="00C64BA4">
        <w:t>.</w:t>
      </w:r>
    </w:p>
    <w:p w14:paraId="36116CBF" w14:textId="2B00664F" w:rsidR="00213374" w:rsidRPr="007638A5" w:rsidRDefault="00213374" w:rsidP="006B4A33">
      <w:pPr>
        <w:pStyle w:val="NICEnormal"/>
        <w:ind w:left="928"/>
      </w:pPr>
      <w:r w:rsidRPr="007638A5">
        <w:t>Show that the estimates for resource</w:t>
      </w:r>
      <w:r w:rsidR="00C64BA4">
        <w:t xml:space="preserve"> </w:t>
      </w:r>
      <w:r w:rsidRPr="007638A5">
        <w:t>use are based on clinical practice</w:t>
      </w:r>
      <w:r w:rsidR="00C64BA4">
        <w:t xml:space="preserve">, which </w:t>
      </w:r>
      <w:r w:rsidRPr="007638A5">
        <w:t>can be based on data from:</w:t>
      </w:r>
    </w:p>
    <w:p w14:paraId="55859FA5" w14:textId="77777777" w:rsidR="00213374" w:rsidRPr="007638A5" w:rsidRDefault="00213374" w:rsidP="000E1A50">
      <w:pPr>
        <w:pStyle w:val="Bulletleft1"/>
        <w:numPr>
          <w:ilvl w:val="0"/>
          <w:numId w:val="17"/>
        </w:numPr>
      </w:pPr>
      <w:r w:rsidRPr="007638A5">
        <w:t xml:space="preserve">a clinical study </w:t>
      </w:r>
    </w:p>
    <w:p w14:paraId="7BAA88E6" w14:textId="74F9A2D4" w:rsidR="00213374" w:rsidRPr="007638A5" w:rsidRDefault="00213374" w:rsidP="000E1A50">
      <w:pPr>
        <w:pStyle w:val="Bulletleft1"/>
        <w:numPr>
          <w:ilvl w:val="0"/>
          <w:numId w:val="17"/>
        </w:numPr>
      </w:pPr>
      <w:r w:rsidRPr="007638A5">
        <w:t xml:space="preserve">real-world data </w:t>
      </w:r>
      <w:r w:rsidR="00714A02">
        <w:t xml:space="preserve">including from </w:t>
      </w:r>
      <w:r w:rsidR="00714A02" w:rsidRPr="007638A5">
        <w:t>pilot stud</w:t>
      </w:r>
      <w:r w:rsidR="00714A02">
        <w:t>ies</w:t>
      </w:r>
    </w:p>
    <w:p w14:paraId="5852DB56" w14:textId="77777777" w:rsidR="00213374" w:rsidRPr="007638A5" w:rsidRDefault="00213374" w:rsidP="000E1A50">
      <w:pPr>
        <w:pStyle w:val="Bulletleft1"/>
        <w:numPr>
          <w:ilvl w:val="0"/>
          <w:numId w:val="17"/>
        </w:numPr>
      </w:pPr>
      <w:r w:rsidRPr="007638A5">
        <w:t xml:space="preserve">information obtained from relevant clinical or social care professionals </w:t>
      </w:r>
    </w:p>
    <w:p w14:paraId="7DB565DA" w14:textId="2181D244" w:rsidR="00213374" w:rsidRPr="007638A5" w:rsidRDefault="00213374" w:rsidP="006B4A33">
      <w:pPr>
        <w:pStyle w:val="Bulletleft1last"/>
        <w:numPr>
          <w:ilvl w:val="0"/>
          <w:numId w:val="17"/>
        </w:numPr>
      </w:pPr>
      <w:r w:rsidRPr="007638A5">
        <w:t>other appropriate sources</w:t>
      </w:r>
      <w:r w:rsidR="00C64BA4">
        <w:t>.</w:t>
      </w:r>
    </w:p>
    <w:p w14:paraId="331166D0" w14:textId="0E7FE982" w:rsidR="00213374" w:rsidRPr="007638A5" w:rsidRDefault="000B12D2" w:rsidP="006B4A33">
      <w:pPr>
        <w:pStyle w:val="NICEnormal"/>
        <w:ind w:left="928"/>
      </w:pPr>
      <w:r>
        <w:t xml:space="preserve">State the source of the </w:t>
      </w:r>
      <w:r w:rsidRPr="00AF6E34">
        <w:t>data</w:t>
      </w:r>
      <w:r w:rsidR="00F27845" w:rsidRPr="00AF6E34">
        <w:t xml:space="preserve"> for </w:t>
      </w:r>
      <w:r w:rsidRPr="00AF6E34">
        <w:t xml:space="preserve">the </w:t>
      </w:r>
      <w:r w:rsidR="00F27845" w:rsidRPr="00AF6E34">
        <w:t xml:space="preserve">cost and resource </w:t>
      </w:r>
      <w:r>
        <w:t>estimates</w:t>
      </w:r>
      <w:r w:rsidR="00F27845" w:rsidRPr="00AF6E34">
        <w:t>.</w:t>
      </w:r>
      <w:r w:rsidRPr="00AF6E34">
        <w:t xml:space="preserve"> </w:t>
      </w:r>
      <w:r w:rsidR="00F27845" w:rsidRPr="00AF6E34">
        <w:t>State</w:t>
      </w:r>
      <w:r>
        <w:t xml:space="preserve"> whether </w:t>
      </w:r>
      <w:r w:rsidR="00521470">
        <w:t xml:space="preserve">the estimates are recognised </w:t>
      </w:r>
      <w:r w:rsidR="00F27845" w:rsidRPr="00AF6E34">
        <w:t xml:space="preserve">as accurate and comprehensive </w:t>
      </w:r>
      <w:r w:rsidR="00521470">
        <w:t xml:space="preserve">by </w:t>
      </w:r>
      <w:r w:rsidR="00213374" w:rsidRPr="007638A5">
        <w:t>a relevant health and social care professional</w:t>
      </w:r>
      <w:r w:rsidR="00213374" w:rsidRPr="00AF6E34">
        <w:t>.</w:t>
      </w:r>
      <w:r w:rsidR="00213374" w:rsidRPr="007638A5">
        <w:t xml:space="preserve"> Include any expected variations for different groups of </w:t>
      </w:r>
      <w:r w:rsidR="00AC5EA6">
        <w:t>service user</w:t>
      </w:r>
      <w:r w:rsidR="00213374" w:rsidRPr="007638A5">
        <w:t>s.</w:t>
      </w:r>
    </w:p>
    <w:p w14:paraId="313C183E" w14:textId="67075726" w:rsidR="004C27E4" w:rsidRPr="007638A5" w:rsidRDefault="004C27E4" w:rsidP="005E31F3">
      <w:pPr>
        <w:pStyle w:val="Heading3"/>
        <w:numPr>
          <w:ilvl w:val="0"/>
          <w:numId w:val="14"/>
        </w:numPr>
      </w:pPr>
      <w:r w:rsidRPr="007638A5">
        <w:t>Standard 19: show sensitivity analysis to explore uncertainties</w:t>
      </w:r>
    </w:p>
    <w:p w14:paraId="1FA7364E" w14:textId="5E528AC8" w:rsidR="00FC6BA7" w:rsidRPr="007638A5" w:rsidRDefault="00FD684D" w:rsidP="006B4A33">
      <w:pPr>
        <w:pStyle w:val="NICEnormal"/>
        <w:ind w:left="720"/>
        <w:rPr>
          <w:lang w:eastAsia="en-GB"/>
        </w:rPr>
      </w:pPr>
      <w:r w:rsidRPr="007638A5">
        <w:rPr>
          <w:lang w:eastAsia="en-GB"/>
        </w:rPr>
        <w:t>Applies to DHTs in A, B and C.</w:t>
      </w:r>
    </w:p>
    <w:p w14:paraId="7FCC2268" w14:textId="5291C690" w:rsidR="00630110" w:rsidRPr="007638A5" w:rsidRDefault="00630110" w:rsidP="006B4A33">
      <w:pPr>
        <w:pStyle w:val="Heading4"/>
        <w:ind w:left="720"/>
      </w:pPr>
      <w:bookmarkStart w:id="77" w:name="_Information_that_can_18"/>
      <w:bookmarkEnd w:id="77"/>
      <w:r w:rsidRPr="007638A5">
        <w:t>Information that can be used to meet standard</w:t>
      </w:r>
      <w:r w:rsidR="00F10511">
        <w:t xml:space="preserve"> 19</w:t>
      </w:r>
    </w:p>
    <w:p w14:paraId="1FA3153E" w14:textId="2CF375AE" w:rsidR="00630110" w:rsidRPr="007638A5" w:rsidRDefault="00776545" w:rsidP="006B4A33">
      <w:pPr>
        <w:pStyle w:val="NICEnormal"/>
        <w:ind w:left="720"/>
        <w:rPr>
          <w:lang w:eastAsia="en-GB"/>
        </w:rPr>
      </w:pPr>
      <w:r w:rsidRPr="007638A5">
        <w:rPr>
          <w:lang w:eastAsia="en-GB"/>
        </w:rPr>
        <w:t>Explore the uncertainty of the estimate obtained from the budget impact analysis by varying the assumptions used (for example</w:t>
      </w:r>
      <w:r w:rsidR="00564B7E">
        <w:rPr>
          <w:lang w:eastAsia="en-GB"/>
        </w:rPr>
        <w:t>,</w:t>
      </w:r>
      <w:r w:rsidRPr="007638A5">
        <w:rPr>
          <w:lang w:eastAsia="en-GB"/>
        </w:rPr>
        <w:t xml:space="preserve"> using best</w:t>
      </w:r>
      <w:r w:rsidR="00564B7E">
        <w:rPr>
          <w:lang w:eastAsia="en-GB"/>
        </w:rPr>
        <w:t>-</w:t>
      </w:r>
      <w:r w:rsidRPr="007638A5">
        <w:rPr>
          <w:lang w:eastAsia="en-GB"/>
        </w:rPr>
        <w:t xml:space="preserve"> and worst-case values for target population size, resource use).</w:t>
      </w:r>
    </w:p>
    <w:p w14:paraId="697ADD56" w14:textId="793B9680" w:rsidR="004C27E4" w:rsidRPr="007638A5" w:rsidRDefault="004C27E4" w:rsidP="005E31F3">
      <w:pPr>
        <w:pStyle w:val="Heading3"/>
        <w:numPr>
          <w:ilvl w:val="0"/>
          <w:numId w:val="14"/>
        </w:numPr>
      </w:pPr>
      <w:r w:rsidRPr="007638A5">
        <w:t>Standard 20: for DHTs with higher financial risk</w:t>
      </w:r>
      <w:r w:rsidR="00564B7E">
        <w:t>,</w:t>
      </w:r>
      <w:r w:rsidRPr="007638A5">
        <w:t xml:space="preserve"> provide a cost</w:t>
      </w:r>
      <w:r w:rsidR="00564B7E">
        <w:t>–</w:t>
      </w:r>
      <w:r w:rsidRPr="007638A5">
        <w:t>comparison or cost</w:t>
      </w:r>
      <w:r w:rsidR="00564B7E">
        <w:t>–</w:t>
      </w:r>
      <w:r w:rsidRPr="007638A5">
        <w:t>utility analysis</w:t>
      </w:r>
    </w:p>
    <w:p w14:paraId="209BA80A" w14:textId="3BD79F7F" w:rsidR="00FC6BA7" w:rsidRPr="007638A5" w:rsidRDefault="00FD684D" w:rsidP="006B4A33">
      <w:pPr>
        <w:pStyle w:val="NICEnormal"/>
        <w:ind w:left="720"/>
        <w:rPr>
          <w:lang w:eastAsia="en-GB"/>
        </w:rPr>
      </w:pPr>
      <w:r w:rsidRPr="007638A5">
        <w:rPr>
          <w:lang w:eastAsia="en-GB"/>
        </w:rPr>
        <w:t>Applies to DHTs in A, B and C.</w:t>
      </w:r>
    </w:p>
    <w:p w14:paraId="62BC1472" w14:textId="73F63186" w:rsidR="00630110" w:rsidRPr="007638A5" w:rsidRDefault="00630110" w:rsidP="006B4A33">
      <w:pPr>
        <w:pStyle w:val="Heading4"/>
        <w:ind w:left="720"/>
      </w:pPr>
      <w:bookmarkStart w:id="78" w:name="_Information_that_can_19"/>
      <w:bookmarkEnd w:id="78"/>
      <w:r w:rsidRPr="007638A5">
        <w:t>Information that can be used to meet standard</w:t>
      </w:r>
      <w:r w:rsidR="00F10511">
        <w:t xml:space="preserve"> 20</w:t>
      </w:r>
    </w:p>
    <w:p w14:paraId="570878C2" w14:textId="06A456F4" w:rsidR="008C01B2" w:rsidRPr="00AF6E34" w:rsidRDefault="00545B24" w:rsidP="008C01B2">
      <w:pPr>
        <w:pStyle w:val="Bulletleft1"/>
        <w:numPr>
          <w:ilvl w:val="0"/>
          <w:numId w:val="0"/>
        </w:numPr>
        <w:ind w:left="709" w:firstLine="11"/>
      </w:pPr>
      <w:r>
        <w:t xml:space="preserve">We define a DHT with higher financial risk as: where the costs of commissioning, </w:t>
      </w:r>
      <w:proofErr w:type="gramStart"/>
      <w:r>
        <w:t>purchasing</w:t>
      </w:r>
      <w:proofErr w:type="gramEnd"/>
      <w:r>
        <w:t xml:space="preserve"> or implementing the DHT are deemed to be </w:t>
      </w:r>
      <w:r w:rsidR="00521470">
        <w:t>substantial</w:t>
      </w:r>
      <w:r>
        <w:t xml:space="preserve"> within the context of local budgets and system priorities. This will vary between different commissioning organisations, and contributing factors may include:</w:t>
      </w:r>
      <w:r w:rsidR="008C01B2" w:rsidRPr="00AF6E34">
        <w:t xml:space="preserve"> </w:t>
      </w:r>
    </w:p>
    <w:p w14:paraId="207502B5" w14:textId="1012E8ED" w:rsidR="00776545" w:rsidRPr="007638A5" w:rsidRDefault="00564B7E" w:rsidP="006B4A33">
      <w:pPr>
        <w:pStyle w:val="Bulletleft1"/>
        <w:numPr>
          <w:ilvl w:val="0"/>
          <w:numId w:val="17"/>
        </w:numPr>
      </w:pPr>
      <w:r>
        <w:t>c</w:t>
      </w:r>
      <w:r w:rsidR="00776545" w:rsidRPr="007638A5">
        <w:t>overage of commissioning of the technology</w:t>
      </w:r>
      <w:r>
        <w:t>,</w:t>
      </w:r>
      <w:r w:rsidR="00776545" w:rsidRPr="007638A5">
        <w:t xml:space="preserve"> for example whether it’s commissioned at 1 site, multiple sites or nationwide</w:t>
      </w:r>
    </w:p>
    <w:p w14:paraId="43F59DDD" w14:textId="46F21BCF" w:rsidR="00776545" w:rsidRPr="007638A5" w:rsidRDefault="007642ED" w:rsidP="006B4A33">
      <w:pPr>
        <w:pStyle w:val="Bulletleft1"/>
        <w:numPr>
          <w:ilvl w:val="0"/>
          <w:numId w:val="17"/>
        </w:numPr>
      </w:pPr>
      <w:r w:rsidRPr="00AF6E34">
        <w:t xml:space="preserve">the </w:t>
      </w:r>
      <w:r w:rsidR="00564B7E">
        <w:t>e</w:t>
      </w:r>
      <w:r w:rsidR="00776545" w:rsidRPr="007638A5">
        <w:t>xtent of changes needed within an organisation to use the DHT</w:t>
      </w:r>
      <w:r w:rsidR="00564B7E">
        <w:t>; t</w:t>
      </w:r>
      <w:r w:rsidR="00776545" w:rsidRPr="007638A5">
        <w:t xml:space="preserve">his could include changes to IT systems, </w:t>
      </w:r>
      <w:proofErr w:type="gramStart"/>
      <w:r w:rsidR="00776545" w:rsidRPr="007638A5">
        <w:t>staffing</w:t>
      </w:r>
      <w:proofErr w:type="gramEnd"/>
      <w:r w:rsidR="00776545" w:rsidRPr="007638A5">
        <w:t xml:space="preserve"> or care pathways</w:t>
      </w:r>
    </w:p>
    <w:p w14:paraId="40B60565" w14:textId="166EACAB" w:rsidR="00776545" w:rsidRPr="007638A5" w:rsidRDefault="007642ED" w:rsidP="00991A44">
      <w:pPr>
        <w:pStyle w:val="Bulletleft1last"/>
        <w:numPr>
          <w:ilvl w:val="1"/>
          <w:numId w:val="6"/>
        </w:numPr>
        <w:tabs>
          <w:tab w:val="clear" w:pos="1440"/>
          <w:tab w:val="num" w:pos="1276"/>
        </w:tabs>
        <w:ind w:hanging="488"/>
      </w:pPr>
      <w:r w:rsidRPr="00AF6E34">
        <w:t xml:space="preserve">the </w:t>
      </w:r>
      <w:r w:rsidR="00564B7E">
        <w:t>e</w:t>
      </w:r>
      <w:r w:rsidR="00776545" w:rsidRPr="007638A5">
        <w:t>xtent of implementation costs needed to use the DHT</w:t>
      </w:r>
    </w:p>
    <w:p w14:paraId="50977460" w14:textId="3ED19800" w:rsidR="001E6FBB" w:rsidRDefault="001E6FBB" w:rsidP="00463E34">
      <w:pPr>
        <w:pStyle w:val="NICEnormal"/>
        <w:ind w:left="928"/>
      </w:pPr>
      <w:r>
        <w:t>Cost</w:t>
      </w:r>
      <w:r w:rsidR="00B228F8">
        <w:noBreakHyphen/>
      </w:r>
      <w:r>
        <w:t>comparison analysis is preferred if the DHT</w:t>
      </w:r>
      <w:r w:rsidR="008C01B2" w:rsidRPr="00AF6E34">
        <w:t xml:space="preserve"> </w:t>
      </w:r>
      <w:r>
        <w:t>provides similar or greater health and care benefits at similar or lower costs</w:t>
      </w:r>
      <w:r w:rsidR="008C2492">
        <w:t>.</w:t>
      </w:r>
    </w:p>
    <w:p w14:paraId="21862989" w14:textId="2F17E9D6" w:rsidR="001E6FBB" w:rsidRDefault="001E6FBB" w:rsidP="00991A44">
      <w:pPr>
        <w:pStyle w:val="Bullets"/>
        <w:numPr>
          <w:ilvl w:val="0"/>
          <w:numId w:val="0"/>
        </w:numPr>
        <w:ind w:left="1382" w:hanging="454"/>
      </w:pPr>
      <w:r>
        <w:t>Cost</w:t>
      </w:r>
      <w:r w:rsidR="008C2492">
        <w:t>–</w:t>
      </w:r>
      <w:r>
        <w:t>utility analysis is preferred if the DHT:</w:t>
      </w:r>
    </w:p>
    <w:p w14:paraId="6E50EE4E" w14:textId="7822C305" w:rsidR="001E6FBB" w:rsidRDefault="00776545" w:rsidP="002F2A91">
      <w:pPr>
        <w:pStyle w:val="Bulletleft1"/>
        <w:numPr>
          <w:ilvl w:val="0"/>
          <w:numId w:val="17"/>
        </w:numPr>
      </w:pPr>
      <w:r w:rsidRPr="007638A5">
        <w:t>provides similar or greater health or care benefits at higher costs</w:t>
      </w:r>
    </w:p>
    <w:p w14:paraId="73FA1CC8" w14:textId="3A3AFFEC" w:rsidR="00776545" w:rsidRPr="007638A5" w:rsidRDefault="008C2492" w:rsidP="00991A44">
      <w:pPr>
        <w:pStyle w:val="Bulletleft1last"/>
        <w:numPr>
          <w:ilvl w:val="1"/>
          <w:numId w:val="6"/>
        </w:numPr>
        <w:tabs>
          <w:tab w:val="clear" w:pos="1440"/>
          <w:tab w:val="num" w:pos="1276"/>
        </w:tabs>
        <w:ind w:hanging="516"/>
      </w:pPr>
      <w:r>
        <w:t>p</w:t>
      </w:r>
      <w:r w:rsidR="002F2A91">
        <w:t>rovides marginally lower health benefits for significantly lower costs</w:t>
      </w:r>
      <w:r w:rsidR="001E6FBB">
        <w:t xml:space="preserve">. </w:t>
      </w:r>
    </w:p>
    <w:p w14:paraId="5A0EAD24" w14:textId="1EBFD305" w:rsidR="00630110" w:rsidRDefault="001B73CC" w:rsidP="006B4A33">
      <w:pPr>
        <w:pStyle w:val="NICEnormal"/>
        <w:ind w:left="928"/>
        <w:rPr>
          <w:lang w:eastAsia="en-GB"/>
        </w:rPr>
      </w:pPr>
      <w:r>
        <w:rPr>
          <w:lang w:eastAsia="en-GB"/>
        </w:rPr>
        <w:t>For all analyses, e</w:t>
      </w:r>
      <w:r w:rsidR="00776545" w:rsidRPr="007638A5">
        <w:rPr>
          <w:lang w:eastAsia="en-GB"/>
        </w:rPr>
        <w:t xml:space="preserve">xplore the uncertainty of the </w:t>
      </w:r>
      <w:r w:rsidR="00564B7E">
        <w:rPr>
          <w:lang w:eastAsia="en-GB"/>
        </w:rPr>
        <w:t xml:space="preserve">obtained </w:t>
      </w:r>
      <w:r w:rsidR="00776545" w:rsidRPr="007638A5">
        <w:rPr>
          <w:lang w:eastAsia="en-GB"/>
        </w:rPr>
        <w:t>estimate by using sensitivity and scenario analyses.</w:t>
      </w:r>
    </w:p>
    <w:p w14:paraId="2877CFB3" w14:textId="40D2658A" w:rsidR="00254D1E" w:rsidRPr="007638A5" w:rsidRDefault="008B4018" w:rsidP="006B4A33">
      <w:pPr>
        <w:pStyle w:val="NICEnormal"/>
        <w:ind w:left="928"/>
        <w:rPr>
          <w:lang w:eastAsia="en-GB"/>
        </w:rPr>
      </w:pPr>
      <w:r w:rsidRPr="007638A5">
        <w:t>If a cost</w:t>
      </w:r>
      <w:r>
        <w:t>–</w:t>
      </w:r>
      <w:r w:rsidRPr="007638A5">
        <w:t xml:space="preserve">utility analysis is being done, an appropriate standard measure should be used for utility data (such as EQ-5D). Describe why this measure was chosen. </w:t>
      </w:r>
      <w:r w:rsidR="001B73CC">
        <w:rPr>
          <w:lang w:eastAsia="en-GB"/>
        </w:rPr>
        <w:t xml:space="preserve">The </w:t>
      </w:r>
      <w:hyperlink r:id="rId44" w:history="1">
        <w:r w:rsidR="00067B9B" w:rsidRPr="00067B9B">
          <w:rPr>
            <w:rStyle w:val="Hyperlink"/>
            <w:lang w:eastAsia="en-GB"/>
          </w:rPr>
          <w:t>NICE health technology evaluations</w:t>
        </w:r>
        <w:r w:rsidR="00B228F8">
          <w:rPr>
            <w:rStyle w:val="Hyperlink"/>
            <w:lang w:eastAsia="en-GB"/>
          </w:rPr>
          <w:t>:</w:t>
        </w:r>
        <w:r w:rsidR="00067B9B" w:rsidRPr="00067B9B">
          <w:rPr>
            <w:rStyle w:val="Hyperlink"/>
            <w:lang w:eastAsia="en-GB"/>
          </w:rPr>
          <w:t xml:space="preserve"> </w:t>
        </w:r>
        <w:r w:rsidR="00B228F8">
          <w:rPr>
            <w:rStyle w:val="Hyperlink"/>
            <w:lang w:eastAsia="en-GB"/>
          </w:rPr>
          <w:t xml:space="preserve">the </w:t>
        </w:r>
        <w:r w:rsidR="00067B9B" w:rsidRPr="00067B9B">
          <w:rPr>
            <w:rStyle w:val="Hyperlink"/>
            <w:lang w:eastAsia="en-GB"/>
          </w:rPr>
          <w:t>manual</w:t>
        </w:r>
      </w:hyperlink>
      <w:r w:rsidR="00067B9B">
        <w:rPr>
          <w:lang w:eastAsia="en-GB"/>
        </w:rPr>
        <w:t xml:space="preserve"> gives further guidance on how these analyses can be done.</w:t>
      </w:r>
    </w:p>
    <w:p w14:paraId="298A0BC7" w14:textId="4FE4387F" w:rsidR="004C27E4" w:rsidRPr="007638A5" w:rsidRDefault="004C27E4" w:rsidP="005E31F3">
      <w:pPr>
        <w:pStyle w:val="Heading3"/>
        <w:numPr>
          <w:ilvl w:val="0"/>
          <w:numId w:val="14"/>
        </w:numPr>
      </w:pPr>
      <w:r w:rsidRPr="007638A5">
        <w:t>Standard 21: agree a data collection plan to show value</w:t>
      </w:r>
    </w:p>
    <w:p w14:paraId="0158504F" w14:textId="7389EB86" w:rsidR="00FC6BA7" w:rsidRPr="007638A5" w:rsidRDefault="00FD684D" w:rsidP="006B4A33">
      <w:pPr>
        <w:pStyle w:val="NICEnormal"/>
        <w:ind w:left="720"/>
        <w:rPr>
          <w:lang w:eastAsia="en-GB"/>
        </w:rPr>
      </w:pPr>
      <w:r w:rsidRPr="007638A5">
        <w:rPr>
          <w:lang w:eastAsia="en-GB"/>
        </w:rPr>
        <w:t>Applies to DHTs in A, B and C.</w:t>
      </w:r>
    </w:p>
    <w:p w14:paraId="183FC38A" w14:textId="14F8D43A" w:rsidR="00630110" w:rsidRPr="007638A5" w:rsidRDefault="00630110" w:rsidP="006B4A33">
      <w:pPr>
        <w:pStyle w:val="Heading4"/>
        <w:ind w:left="720"/>
      </w:pPr>
      <w:bookmarkStart w:id="79" w:name="_Information_that_can_20"/>
      <w:bookmarkEnd w:id="79"/>
      <w:r w:rsidRPr="007638A5">
        <w:t>Information that can be used to meet standard</w:t>
      </w:r>
      <w:r w:rsidR="00F10511">
        <w:t xml:space="preserve"> 21</w:t>
      </w:r>
    </w:p>
    <w:p w14:paraId="774E78AA" w14:textId="28F27AC1" w:rsidR="00E260D1" w:rsidRPr="007638A5" w:rsidRDefault="00E260D1" w:rsidP="006B4A33">
      <w:pPr>
        <w:pStyle w:val="NICEnormal"/>
        <w:ind w:left="720"/>
      </w:pPr>
      <w:r w:rsidRPr="007638A5">
        <w:t xml:space="preserve">The </w:t>
      </w:r>
      <w:r w:rsidR="00D10E7D" w:rsidRPr="00D10E7D">
        <w:t>company</w:t>
      </w:r>
      <w:r w:rsidR="00D10E7D" w:rsidRPr="00D10E7D" w:rsidDel="00D10E7D">
        <w:t xml:space="preserve"> </w:t>
      </w:r>
      <w:r w:rsidRPr="007638A5">
        <w:t xml:space="preserve">and the </w:t>
      </w:r>
      <w:r w:rsidR="00AC5EA6">
        <w:t>evaluator</w:t>
      </w:r>
      <w:r w:rsidRPr="007638A5">
        <w:t xml:space="preserve"> should reach an agreement for ongoing data collection to report: </w:t>
      </w:r>
    </w:p>
    <w:p w14:paraId="18780021" w14:textId="77777777" w:rsidR="00E260D1" w:rsidRPr="007638A5" w:rsidRDefault="00E260D1" w:rsidP="006B4A33">
      <w:pPr>
        <w:pStyle w:val="Bulletleft1"/>
        <w:numPr>
          <w:ilvl w:val="0"/>
          <w:numId w:val="17"/>
        </w:numPr>
      </w:pPr>
      <w:r w:rsidRPr="007638A5">
        <w:t>ongoing usage of the DHT in the target population in line with the expected usage profile (to be agreed at commissioning)</w:t>
      </w:r>
    </w:p>
    <w:p w14:paraId="4EA9BAE5" w14:textId="6905E6C8" w:rsidR="00E260D1" w:rsidRPr="007638A5" w:rsidRDefault="00E260D1" w:rsidP="006B4A33">
      <w:pPr>
        <w:pStyle w:val="Bulletleft1"/>
        <w:numPr>
          <w:ilvl w:val="0"/>
          <w:numId w:val="17"/>
        </w:numPr>
      </w:pPr>
      <w:r w:rsidRPr="007638A5">
        <w:t xml:space="preserve">anonymised, aggregate data to show </w:t>
      </w:r>
      <w:r w:rsidR="00AC5EA6">
        <w:t>service user</w:t>
      </w:r>
      <w:r w:rsidR="00D72885">
        <w:t xml:space="preserve"> </w:t>
      </w:r>
      <w:proofErr w:type="gramStart"/>
      <w:r w:rsidRPr="007638A5">
        <w:t>outcomes, if</w:t>
      </w:r>
      <w:proofErr w:type="gramEnd"/>
      <w:r w:rsidRPr="007638A5">
        <w:t xml:space="preserve"> this is collected by the DHT</w:t>
      </w:r>
    </w:p>
    <w:p w14:paraId="6073B2EA" w14:textId="4071CC7D" w:rsidR="00E260D1" w:rsidRPr="007638A5" w:rsidRDefault="00E260D1" w:rsidP="006B4A33">
      <w:pPr>
        <w:pStyle w:val="Bulletleft1"/>
        <w:numPr>
          <w:ilvl w:val="0"/>
          <w:numId w:val="17"/>
        </w:numPr>
      </w:pPr>
      <w:r w:rsidRPr="007638A5">
        <w:t>include analysis to show cost per use</w:t>
      </w:r>
      <w:r w:rsidR="00D72885">
        <w:t xml:space="preserve"> or </w:t>
      </w:r>
      <w:r w:rsidRPr="007638A5">
        <w:t xml:space="preserve">per </w:t>
      </w:r>
      <w:r w:rsidR="00AC5EA6">
        <w:t>service user</w:t>
      </w:r>
      <w:r w:rsidRPr="007638A5">
        <w:t xml:space="preserve"> of the DHT, based on the data collected</w:t>
      </w:r>
    </w:p>
    <w:p w14:paraId="51A39F09" w14:textId="77777777" w:rsidR="00E260D1" w:rsidRPr="007638A5" w:rsidRDefault="00E260D1" w:rsidP="006B4A33">
      <w:pPr>
        <w:pStyle w:val="Bulletleft1last"/>
        <w:numPr>
          <w:ilvl w:val="0"/>
          <w:numId w:val="17"/>
        </w:numPr>
      </w:pPr>
      <w:r w:rsidRPr="007638A5">
        <w:t>whether any changes (such as algorithmic changes, upgrades or operational environment or updates) have occurred.</w:t>
      </w:r>
    </w:p>
    <w:p w14:paraId="6435ED8A" w14:textId="6B6ED1DA" w:rsidR="00FC6BA7" w:rsidRPr="007638A5" w:rsidRDefault="00FC6BA7" w:rsidP="00F935BF">
      <w:pPr>
        <w:pStyle w:val="Heading2"/>
      </w:pPr>
      <w:bookmarkStart w:id="80" w:name="_Deployment_considerations"/>
      <w:bookmarkEnd w:id="80"/>
      <w:r w:rsidRPr="007638A5">
        <w:t>Deployment considerations</w:t>
      </w:r>
    </w:p>
    <w:p w14:paraId="2FF29B79" w14:textId="3991896F" w:rsidR="004C27E4" w:rsidRPr="007638A5" w:rsidRDefault="004C27E4" w:rsidP="005E31F3">
      <w:pPr>
        <w:pStyle w:val="Heading3"/>
        <w:numPr>
          <w:ilvl w:val="0"/>
          <w:numId w:val="14"/>
        </w:numPr>
      </w:pPr>
      <w:r w:rsidRPr="007638A5">
        <w:t>Standard 22: ensure transparency about requirements for deployment</w:t>
      </w:r>
    </w:p>
    <w:p w14:paraId="1F52407E" w14:textId="5C7B37B1" w:rsidR="00FC6BA7" w:rsidRPr="007638A5" w:rsidRDefault="00FD684D" w:rsidP="006B4A33">
      <w:pPr>
        <w:pStyle w:val="NICEnormal"/>
        <w:ind w:left="720"/>
        <w:rPr>
          <w:lang w:eastAsia="en-GB"/>
        </w:rPr>
      </w:pPr>
      <w:r w:rsidRPr="007638A5">
        <w:rPr>
          <w:lang w:eastAsia="en-GB"/>
        </w:rPr>
        <w:t>Applies to DHTs in A, B and C.</w:t>
      </w:r>
    </w:p>
    <w:p w14:paraId="6D84386C" w14:textId="795C151A" w:rsidR="00630110" w:rsidRPr="007638A5" w:rsidRDefault="00630110" w:rsidP="006B4A33">
      <w:pPr>
        <w:pStyle w:val="Heading4"/>
        <w:ind w:left="720"/>
      </w:pPr>
      <w:bookmarkStart w:id="81" w:name="_Information_that_can_21"/>
      <w:bookmarkEnd w:id="81"/>
      <w:r w:rsidRPr="007638A5">
        <w:t>Information that can be used to meet standard</w:t>
      </w:r>
      <w:r w:rsidR="00F10511">
        <w:t xml:space="preserve"> 22</w:t>
      </w:r>
    </w:p>
    <w:p w14:paraId="1255719C" w14:textId="68BEAE53" w:rsidR="00E260D1" w:rsidRPr="007638A5" w:rsidRDefault="00E260D1" w:rsidP="006B4A33">
      <w:pPr>
        <w:pStyle w:val="NICEnormal"/>
        <w:ind w:left="720"/>
      </w:pPr>
      <w:r w:rsidRPr="007638A5">
        <w:t xml:space="preserve">The </w:t>
      </w:r>
      <w:r w:rsidR="00D10E7D" w:rsidRPr="00D10E7D">
        <w:t>company</w:t>
      </w:r>
      <w:r w:rsidR="00D10E7D" w:rsidRPr="00D10E7D" w:rsidDel="00D10E7D">
        <w:t xml:space="preserve"> </w:t>
      </w:r>
      <w:r w:rsidRPr="007638A5">
        <w:t>should provide clear descriptions of the data used in deployment. This should include:</w:t>
      </w:r>
    </w:p>
    <w:p w14:paraId="72F42CD5" w14:textId="77777777" w:rsidR="00E260D1" w:rsidRPr="007638A5" w:rsidRDefault="00E260D1" w:rsidP="006B4A33">
      <w:pPr>
        <w:pStyle w:val="Bulletleft1"/>
        <w:numPr>
          <w:ilvl w:val="0"/>
          <w:numId w:val="17"/>
        </w:numPr>
      </w:pPr>
      <w:r w:rsidRPr="007638A5">
        <w:t>a full description of the input data for the DHT</w:t>
      </w:r>
    </w:p>
    <w:p w14:paraId="1C68EC4E" w14:textId="76329AF6" w:rsidR="00E260D1" w:rsidRPr="007638A5" w:rsidRDefault="00E260D1" w:rsidP="006B4A33">
      <w:pPr>
        <w:pStyle w:val="Bulletleft1"/>
        <w:numPr>
          <w:ilvl w:val="0"/>
          <w:numId w:val="17"/>
        </w:numPr>
      </w:pPr>
      <w:r w:rsidRPr="007638A5">
        <w:t xml:space="preserve">quantifying the level of tolerance that the DHT has for incomplete data (such as inputs </w:t>
      </w:r>
      <w:r w:rsidR="00DB44ED">
        <w:t xml:space="preserve">that </w:t>
      </w:r>
      <w:r w:rsidRPr="007638A5">
        <w:t>are missing or of insufficient quality), and how outlier data is handled</w:t>
      </w:r>
    </w:p>
    <w:p w14:paraId="003E28CF" w14:textId="0E6FD664" w:rsidR="00E260D1" w:rsidRPr="007638A5" w:rsidRDefault="00E260D1" w:rsidP="006B4A33">
      <w:pPr>
        <w:pStyle w:val="Bulletleft1"/>
        <w:numPr>
          <w:ilvl w:val="0"/>
          <w:numId w:val="17"/>
        </w:numPr>
      </w:pPr>
      <w:r w:rsidRPr="007638A5">
        <w:t>a data flow map for deployment of the DHT to allow efficient deployment</w:t>
      </w:r>
    </w:p>
    <w:p w14:paraId="6BB030B7" w14:textId="73807A17" w:rsidR="00E260D1" w:rsidRPr="007638A5" w:rsidRDefault="00DB44ED" w:rsidP="006B4A33">
      <w:pPr>
        <w:pStyle w:val="Bulletleft1"/>
        <w:numPr>
          <w:ilvl w:val="0"/>
          <w:numId w:val="17"/>
        </w:numPr>
      </w:pPr>
      <w:r>
        <w:t>d</w:t>
      </w:r>
      <w:r w:rsidR="00E260D1" w:rsidRPr="007638A5">
        <w:t xml:space="preserve">ata requirements for the DHT, such as specific data formats, </w:t>
      </w:r>
      <w:proofErr w:type="gramStart"/>
      <w:r w:rsidR="00E260D1" w:rsidRPr="007638A5">
        <w:t>completeness</w:t>
      </w:r>
      <w:proofErr w:type="gramEnd"/>
      <w:r w:rsidR="00E260D1" w:rsidRPr="007638A5">
        <w:t xml:space="preserve"> or quality </w:t>
      </w:r>
    </w:p>
    <w:p w14:paraId="4CC3D5C7" w14:textId="22D8B44D" w:rsidR="00E260D1" w:rsidRPr="007638A5" w:rsidRDefault="00DB44ED" w:rsidP="006B4A33">
      <w:pPr>
        <w:pStyle w:val="Bulletleft1last"/>
        <w:numPr>
          <w:ilvl w:val="0"/>
          <w:numId w:val="17"/>
        </w:numPr>
      </w:pPr>
      <w:r>
        <w:t>t</w:t>
      </w:r>
      <w:r w:rsidR="00E260D1" w:rsidRPr="007638A5">
        <w:t>he minimum infrastructure requirements for deploying the DHT</w:t>
      </w:r>
      <w:r>
        <w:t>.</w:t>
      </w:r>
    </w:p>
    <w:p w14:paraId="0943440E" w14:textId="6E89AFD5" w:rsidR="004C27E4" w:rsidRPr="00F935BF" w:rsidRDefault="004C27E4" w:rsidP="005E31F3">
      <w:pPr>
        <w:pStyle w:val="Heading3"/>
        <w:numPr>
          <w:ilvl w:val="0"/>
          <w:numId w:val="14"/>
        </w:numPr>
      </w:pPr>
      <w:r w:rsidRPr="00F935BF">
        <w:t xml:space="preserve">Standard 23: describe plans for communication, </w:t>
      </w:r>
      <w:proofErr w:type="gramStart"/>
      <w:r w:rsidRPr="00F935BF">
        <w:t>consent</w:t>
      </w:r>
      <w:proofErr w:type="gramEnd"/>
      <w:r w:rsidRPr="00F935BF">
        <w:t xml:space="preserve"> and training processes in place to allow the DHT to be understood by end users</w:t>
      </w:r>
    </w:p>
    <w:p w14:paraId="705304DF" w14:textId="3BE29F98" w:rsidR="00FC6BA7" w:rsidRPr="007638A5" w:rsidRDefault="00FD684D" w:rsidP="006B4A33">
      <w:pPr>
        <w:pStyle w:val="NICEnormal"/>
        <w:ind w:left="720"/>
        <w:rPr>
          <w:lang w:eastAsia="en-GB"/>
        </w:rPr>
      </w:pPr>
      <w:r w:rsidRPr="007638A5">
        <w:rPr>
          <w:lang w:eastAsia="en-GB"/>
        </w:rPr>
        <w:t>Applies to DHTs in A, B and C.</w:t>
      </w:r>
    </w:p>
    <w:p w14:paraId="26B53789" w14:textId="5CA2823A" w:rsidR="00630110" w:rsidRPr="007638A5" w:rsidRDefault="00630110" w:rsidP="006B4A33">
      <w:pPr>
        <w:pStyle w:val="Heading4"/>
        <w:ind w:left="720"/>
      </w:pPr>
      <w:bookmarkStart w:id="82" w:name="_Information_that_can_22"/>
      <w:bookmarkEnd w:id="82"/>
      <w:r w:rsidRPr="007638A5">
        <w:t>Information that can be used to meet standard</w:t>
      </w:r>
      <w:r w:rsidR="00F10511">
        <w:t xml:space="preserve"> 23</w:t>
      </w:r>
    </w:p>
    <w:p w14:paraId="22C327AB" w14:textId="753149C5" w:rsidR="00776545" w:rsidRPr="007638A5" w:rsidRDefault="00776545" w:rsidP="006B4A33">
      <w:pPr>
        <w:pStyle w:val="NICEnormal"/>
        <w:ind w:left="720"/>
      </w:pPr>
      <w:r w:rsidRPr="007638A5">
        <w:t xml:space="preserve">The </w:t>
      </w:r>
      <w:r w:rsidR="00D10E7D" w:rsidRPr="00D10E7D">
        <w:t>company</w:t>
      </w:r>
      <w:r w:rsidR="00D10E7D" w:rsidRPr="00D10E7D" w:rsidDel="00D10E7D">
        <w:t xml:space="preserve"> </w:t>
      </w:r>
      <w:r w:rsidRPr="007638A5">
        <w:t xml:space="preserve">must ensure that appropriate communication strategies are in place for </w:t>
      </w:r>
      <w:r w:rsidR="00AC5EA6">
        <w:t>service user</w:t>
      </w:r>
      <w:r w:rsidRPr="007638A5">
        <w:t>s</w:t>
      </w:r>
      <w:r w:rsidR="00ED1F19">
        <w:t xml:space="preserve"> and health and care professionals</w:t>
      </w:r>
      <w:r w:rsidRPr="007638A5">
        <w:t xml:space="preserve">, to describe the outputs, key features, </w:t>
      </w:r>
      <w:proofErr w:type="gramStart"/>
      <w:r w:rsidRPr="007638A5">
        <w:t>benefits</w:t>
      </w:r>
      <w:proofErr w:type="gramEnd"/>
      <w:r w:rsidRPr="007638A5">
        <w:t xml:space="preserve"> and limitations of the DHT. </w:t>
      </w:r>
      <w:r w:rsidR="00ED1F19" w:rsidRPr="007638A5">
        <w:t xml:space="preserve">This may include providing a </w:t>
      </w:r>
      <w:hyperlink r:id="rId45" w:history="1">
        <w:r w:rsidR="00ED1F19" w:rsidRPr="007638A5">
          <w:rPr>
            <w:rStyle w:val="Hyperlink"/>
          </w:rPr>
          <w:t>model card</w:t>
        </w:r>
      </w:hyperlink>
      <w:r w:rsidR="00ED1F19" w:rsidRPr="007638A5">
        <w:t xml:space="preserve"> for end users (such as health and care professionals or patients) to allow them to understand when and whether to use the DHT in a person’s care.</w:t>
      </w:r>
    </w:p>
    <w:p w14:paraId="21CDD517" w14:textId="616AC79B" w:rsidR="00776545" w:rsidRPr="007638A5" w:rsidRDefault="00776545" w:rsidP="006B4A33">
      <w:pPr>
        <w:pStyle w:val="NICEnormal"/>
        <w:ind w:left="720"/>
      </w:pPr>
      <w:r w:rsidRPr="007638A5">
        <w:t xml:space="preserve">If </w:t>
      </w:r>
      <w:r w:rsidR="00AC5EA6">
        <w:t>service user</w:t>
      </w:r>
      <w:r w:rsidRPr="007638A5">
        <w:t xml:space="preserve"> consent is needed, the </w:t>
      </w:r>
      <w:r w:rsidR="00D10E7D" w:rsidRPr="00D10E7D">
        <w:t>company</w:t>
      </w:r>
      <w:r w:rsidR="00D10E7D" w:rsidRPr="00D10E7D" w:rsidDel="00D10E7D">
        <w:t xml:space="preserve"> </w:t>
      </w:r>
      <w:r w:rsidRPr="007638A5">
        <w:t xml:space="preserve">should describe this process. </w:t>
      </w:r>
    </w:p>
    <w:p w14:paraId="70749C55" w14:textId="67CC2DD2" w:rsidR="00776545" w:rsidRPr="007638A5" w:rsidRDefault="00776545" w:rsidP="006B4A33">
      <w:pPr>
        <w:pStyle w:val="NICEnormal"/>
        <w:ind w:left="720"/>
      </w:pPr>
      <w:r w:rsidRPr="007638A5">
        <w:t xml:space="preserve">The </w:t>
      </w:r>
      <w:r w:rsidR="00D10E7D" w:rsidRPr="00D10E7D">
        <w:t>company</w:t>
      </w:r>
      <w:r w:rsidR="00D10E7D" w:rsidRPr="00D10E7D" w:rsidDel="00D10E7D">
        <w:t xml:space="preserve"> </w:t>
      </w:r>
      <w:r w:rsidRPr="007638A5">
        <w:t xml:space="preserve">should describe the outputs for the DHT. Examples </w:t>
      </w:r>
      <w:r w:rsidR="00ED1F19">
        <w:t xml:space="preserve">could </w:t>
      </w:r>
      <w:r w:rsidRPr="007638A5">
        <w:t xml:space="preserve">include: </w:t>
      </w:r>
    </w:p>
    <w:p w14:paraId="449E65EF" w14:textId="6335453A" w:rsidR="00776545" w:rsidRPr="007638A5" w:rsidRDefault="00692389" w:rsidP="006B4A33">
      <w:pPr>
        <w:pStyle w:val="Bulletleft1"/>
        <w:numPr>
          <w:ilvl w:val="0"/>
          <w:numId w:val="17"/>
        </w:numPr>
      </w:pPr>
      <w:r>
        <w:t>r</w:t>
      </w:r>
      <w:r w:rsidR="00776545" w:rsidRPr="007638A5">
        <w:t>isk scores</w:t>
      </w:r>
    </w:p>
    <w:p w14:paraId="0BB961D0" w14:textId="0DADC0DA" w:rsidR="00776545" w:rsidRPr="007638A5" w:rsidRDefault="00692389" w:rsidP="006B4A33">
      <w:pPr>
        <w:pStyle w:val="Bulletleft1"/>
        <w:numPr>
          <w:ilvl w:val="0"/>
          <w:numId w:val="17"/>
        </w:numPr>
      </w:pPr>
      <w:r>
        <w:t>p</w:t>
      </w:r>
      <w:r w:rsidR="00776545" w:rsidRPr="007638A5">
        <w:t>robabilities of different diagnoses</w:t>
      </w:r>
    </w:p>
    <w:p w14:paraId="61EA0FD3" w14:textId="5DCC2B8F" w:rsidR="00776545" w:rsidRPr="007638A5" w:rsidRDefault="00692389" w:rsidP="006B4A33">
      <w:pPr>
        <w:pStyle w:val="Bulletleft1last"/>
        <w:numPr>
          <w:ilvl w:val="0"/>
          <w:numId w:val="17"/>
        </w:numPr>
      </w:pPr>
      <w:r>
        <w:t>r</w:t>
      </w:r>
      <w:r w:rsidR="00776545" w:rsidRPr="007638A5">
        <w:t>ecommendations for other tests</w:t>
      </w:r>
      <w:r>
        <w:t>.</w:t>
      </w:r>
    </w:p>
    <w:p w14:paraId="6B6DF262" w14:textId="7F9258C2" w:rsidR="00776545" w:rsidRPr="007638A5" w:rsidRDefault="00776545" w:rsidP="006B4A33">
      <w:pPr>
        <w:pStyle w:val="NICEnormal"/>
        <w:ind w:left="720"/>
      </w:pPr>
      <w:r w:rsidRPr="007638A5">
        <w:t xml:space="preserve">The </w:t>
      </w:r>
      <w:r w:rsidR="00D10E7D" w:rsidRPr="00D10E7D">
        <w:t>company</w:t>
      </w:r>
      <w:r w:rsidR="00D10E7D" w:rsidRPr="00D10E7D" w:rsidDel="00D10E7D">
        <w:t xml:space="preserve"> </w:t>
      </w:r>
      <w:r w:rsidRPr="007638A5">
        <w:t>should describe their planned approach for training end</w:t>
      </w:r>
      <w:r w:rsidR="008C2492">
        <w:t xml:space="preserve"> </w:t>
      </w:r>
      <w:r w:rsidRPr="007638A5">
        <w:t>users of the DHT to allow the benefits of the DHT to be realised in practice.</w:t>
      </w:r>
    </w:p>
    <w:p w14:paraId="7496916B" w14:textId="0C91767B" w:rsidR="004C27E4" w:rsidRPr="007638A5" w:rsidRDefault="004C27E4" w:rsidP="005E31F3">
      <w:pPr>
        <w:pStyle w:val="Heading3"/>
        <w:numPr>
          <w:ilvl w:val="0"/>
          <w:numId w:val="14"/>
        </w:numPr>
      </w:pPr>
      <w:r w:rsidRPr="007638A5">
        <w:t>Standard 24: ensure appropriate scalability</w:t>
      </w:r>
    </w:p>
    <w:p w14:paraId="780A6534" w14:textId="3383A5E0" w:rsidR="004C27E4" w:rsidRPr="007638A5" w:rsidRDefault="00FD684D" w:rsidP="006B4A33">
      <w:pPr>
        <w:pStyle w:val="NICEnormal"/>
        <w:ind w:left="720"/>
        <w:rPr>
          <w:lang w:eastAsia="en-GB"/>
        </w:rPr>
      </w:pPr>
      <w:r w:rsidRPr="007638A5">
        <w:rPr>
          <w:lang w:eastAsia="en-GB"/>
        </w:rPr>
        <w:t>Applies to DHTs in A, B and C.</w:t>
      </w:r>
    </w:p>
    <w:p w14:paraId="6521DA4C" w14:textId="3DF35777" w:rsidR="00630110" w:rsidRPr="007638A5" w:rsidRDefault="00630110" w:rsidP="006B4A33">
      <w:pPr>
        <w:pStyle w:val="Heading4"/>
        <w:ind w:left="720"/>
      </w:pPr>
      <w:bookmarkStart w:id="83" w:name="_Information_that_can_23"/>
      <w:bookmarkEnd w:id="83"/>
      <w:r w:rsidRPr="007638A5">
        <w:t>Information that can be used to meet standard</w:t>
      </w:r>
      <w:r w:rsidR="00F10511">
        <w:t xml:space="preserve"> 24</w:t>
      </w:r>
    </w:p>
    <w:p w14:paraId="469CDA73" w14:textId="070F5AB0" w:rsidR="00776545" w:rsidRPr="007638A5" w:rsidRDefault="00776545" w:rsidP="006B4A33">
      <w:pPr>
        <w:pStyle w:val="NICEnormal"/>
        <w:ind w:left="720"/>
      </w:pPr>
      <w:r w:rsidRPr="007638A5">
        <w:t xml:space="preserve">The </w:t>
      </w:r>
      <w:r w:rsidR="00D10E7D" w:rsidRPr="00D10E7D">
        <w:t>company</w:t>
      </w:r>
      <w:r w:rsidR="00D10E7D" w:rsidRPr="00D10E7D" w:rsidDel="00D10E7D">
        <w:t xml:space="preserve"> </w:t>
      </w:r>
      <w:r w:rsidRPr="007638A5">
        <w:t xml:space="preserve">should ensure that load testing has been done, to show that the DHT can perform to the scale needed (for example, having servers that can scale to manage the expected number of </w:t>
      </w:r>
      <w:r w:rsidR="00AC5EA6">
        <w:t>service user</w:t>
      </w:r>
      <w:r w:rsidRPr="007638A5">
        <w:t xml:space="preserve">s). </w:t>
      </w:r>
    </w:p>
    <w:p w14:paraId="617AD190" w14:textId="6A709C0F" w:rsidR="002E0817" w:rsidRPr="002E0817" w:rsidRDefault="00776545" w:rsidP="00ED1F19">
      <w:pPr>
        <w:pStyle w:val="NICEnormal"/>
        <w:ind w:left="720"/>
      </w:pPr>
      <w:r w:rsidRPr="007638A5">
        <w:rPr>
          <w:lang w:eastAsia="en-GB"/>
        </w:rPr>
        <w:t>Describe the process for load testing and how this relates to the expected uptake for the DHT.</w:t>
      </w:r>
      <w:bookmarkStart w:id="84" w:name="_Section_D:_Development"/>
      <w:bookmarkEnd w:id="84"/>
      <w:r w:rsidR="002E0817" w:rsidRPr="002E0817">
        <w:br w:type="page"/>
      </w:r>
    </w:p>
    <w:p w14:paraId="5BD03CFA" w14:textId="0AE133FB" w:rsidR="00615C22" w:rsidRPr="00991A44" w:rsidRDefault="00615C22" w:rsidP="00C81F2A">
      <w:pPr>
        <w:pStyle w:val="Heading1"/>
        <w:rPr>
          <w:lang w:val="en-GB"/>
        </w:rPr>
      </w:pPr>
      <w:bookmarkStart w:id="85" w:name="_Section_D:_Early"/>
      <w:bookmarkEnd w:id="85"/>
      <w:r w:rsidRPr="00991A44">
        <w:rPr>
          <w:lang w:val="en-GB"/>
        </w:rPr>
        <w:t xml:space="preserve">Section D: </w:t>
      </w:r>
      <w:r w:rsidR="00836079" w:rsidRPr="00991A44">
        <w:rPr>
          <w:lang w:val="en-GB"/>
        </w:rPr>
        <w:t xml:space="preserve">Early deployment standards for </w:t>
      </w:r>
      <w:r w:rsidRPr="00991A44">
        <w:rPr>
          <w:lang w:val="en-GB"/>
        </w:rPr>
        <w:t>evidence</w:t>
      </w:r>
      <w:r w:rsidR="00482D30">
        <w:rPr>
          <w:lang w:val="en-GB"/>
        </w:rPr>
        <w:t>-</w:t>
      </w:r>
      <w:r w:rsidR="00836079" w:rsidRPr="00991A44">
        <w:rPr>
          <w:lang w:val="en-GB"/>
        </w:rPr>
        <w:t>generation programmes</w:t>
      </w:r>
    </w:p>
    <w:p w14:paraId="48290732" w14:textId="628A2140" w:rsidR="00836079" w:rsidRDefault="00836079" w:rsidP="00615C22">
      <w:pPr>
        <w:pStyle w:val="NICEnormal"/>
      </w:pPr>
      <w:r>
        <w:t>It can be challenging for c</w:t>
      </w:r>
      <w:r w:rsidR="00AC5EA6">
        <w:t>ompanies</w:t>
      </w:r>
      <w:r>
        <w:t xml:space="preserve"> whose </w:t>
      </w:r>
      <w:r w:rsidR="0067595C">
        <w:t>digital health technologies (DHTs)</w:t>
      </w:r>
      <w:r>
        <w:t xml:space="preserve"> are at an early development stage,</w:t>
      </w:r>
      <w:r w:rsidR="000F5615" w:rsidRPr="007638A5">
        <w:t xml:space="preserve"> </w:t>
      </w:r>
      <w:r>
        <w:t>to generate the evidence needed</w:t>
      </w:r>
      <w:r w:rsidR="00E0530E" w:rsidRPr="007638A5">
        <w:t xml:space="preserve"> </w:t>
      </w:r>
      <w:r w:rsidR="00BD0171" w:rsidRPr="007638A5">
        <w:t xml:space="preserve">to meet </w:t>
      </w:r>
      <w:r w:rsidR="000F5615" w:rsidRPr="007638A5">
        <w:t>the</w:t>
      </w:r>
      <w:r w:rsidR="0067595C">
        <w:t xml:space="preserve"> requirements of the</w:t>
      </w:r>
      <w:r w:rsidR="000F5615" w:rsidRPr="007638A5">
        <w:t xml:space="preserve"> </w:t>
      </w:r>
      <w:r w:rsidR="00CB5CE5" w:rsidRPr="00CB5CE5">
        <w:t xml:space="preserve">evidence standards framework </w:t>
      </w:r>
      <w:r w:rsidR="00CB5CE5">
        <w:t>(</w:t>
      </w:r>
      <w:r w:rsidR="000F5615" w:rsidRPr="007638A5">
        <w:t>ESF</w:t>
      </w:r>
      <w:r w:rsidR="00CB5CE5">
        <w:t>)</w:t>
      </w:r>
      <w:r w:rsidR="00E0530E" w:rsidRPr="007638A5">
        <w:t>.</w:t>
      </w:r>
      <w:r w:rsidR="000F5615" w:rsidRPr="007638A5">
        <w:t xml:space="preserve"> </w:t>
      </w:r>
      <w:r>
        <w:t xml:space="preserve">To address this challenge, </w:t>
      </w:r>
      <w:r w:rsidR="000F5615" w:rsidRPr="007638A5">
        <w:t>evidence</w:t>
      </w:r>
      <w:r w:rsidR="00CB5CE5">
        <w:t>-</w:t>
      </w:r>
      <w:r w:rsidR="000F5615" w:rsidRPr="007638A5">
        <w:t xml:space="preserve">generation programmes </w:t>
      </w:r>
      <w:r>
        <w:t xml:space="preserve">exist to </w:t>
      </w:r>
      <w:r w:rsidR="000F5615" w:rsidRPr="007638A5">
        <w:t xml:space="preserve">support </w:t>
      </w:r>
      <w:r>
        <w:t>companies to</w:t>
      </w:r>
      <w:r w:rsidR="000F5615" w:rsidRPr="007638A5">
        <w:t xml:space="preserve"> </w:t>
      </w:r>
      <w:r w:rsidRPr="007638A5">
        <w:t xml:space="preserve">develop </w:t>
      </w:r>
      <w:r w:rsidR="000F5615" w:rsidRPr="007638A5">
        <w:t>the evidence</w:t>
      </w:r>
      <w:r>
        <w:t xml:space="preserve"> base for their DHT</w:t>
      </w:r>
      <w:r w:rsidR="000F5615" w:rsidRPr="007638A5">
        <w:t xml:space="preserve">. </w:t>
      </w:r>
    </w:p>
    <w:p w14:paraId="23BC9E06" w14:textId="0C828C76" w:rsidR="00AB56AC" w:rsidRPr="007638A5" w:rsidRDefault="00CB5CE5" w:rsidP="00615C22">
      <w:pPr>
        <w:pStyle w:val="NICEnormal"/>
      </w:pPr>
      <w:r>
        <w:t xml:space="preserve">To be included </w:t>
      </w:r>
      <w:r w:rsidR="00105126" w:rsidRPr="007638A5">
        <w:t xml:space="preserve">in </w:t>
      </w:r>
      <w:r w:rsidR="0067595C">
        <w:t>such evidence</w:t>
      </w:r>
      <w:r w:rsidR="0051571A">
        <w:t>-</w:t>
      </w:r>
      <w:r w:rsidR="0067595C">
        <w:t>generation</w:t>
      </w:r>
      <w:r w:rsidR="00105126" w:rsidRPr="007638A5">
        <w:t xml:space="preserve"> programmes</w:t>
      </w:r>
      <w:r>
        <w:t>,</w:t>
      </w:r>
      <w:r w:rsidR="00105126" w:rsidRPr="007638A5">
        <w:t xml:space="preserve"> i</w:t>
      </w:r>
      <w:r w:rsidR="000F5615" w:rsidRPr="007638A5">
        <w:t xml:space="preserve">t is assumed </w:t>
      </w:r>
      <w:r>
        <w:t xml:space="preserve">that </w:t>
      </w:r>
      <w:r w:rsidR="00AB56AC">
        <w:t xml:space="preserve">the </w:t>
      </w:r>
      <w:r w:rsidR="0067595C">
        <w:t>DHT</w:t>
      </w:r>
      <w:r w:rsidR="000F5615" w:rsidRPr="007638A5">
        <w:t xml:space="preserve"> has been through </w:t>
      </w:r>
      <w:r w:rsidR="0067595C">
        <w:t>its</w:t>
      </w:r>
      <w:r w:rsidR="0067595C" w:rsidRPr="007638A5">
        <w:t xml:space="preserve"> </w:t>
      </w:r>
      <w:r w:rsidR="000F5615" w:rsidRPr="007638A5">
        <w:t xml:space="preserve">design, </w:t>
      </w:r>
      <w:proofErr w:type="gramStart"/>
      <w:r w:rsidR="000F5615" w:rsidRPr="007638A5">
        <w:t>development</w:t>
      </w:r>
      <w:proofErr w:type="gramEnd"/>
      <w:r w:rsidR="000F5615" w:rsidRPr="007638A5">
        <w:t xml:space="preserve"> and validation phase</w:t>
      </w:r>
      <w:r w:rsidR="00BD0171" w:rsidRPr="007638A5">
        <w:t>s</w:t>
      </w:r>
      <w:r>
        <w:t>,</w:t>
      </w:r>
      <w:r w:rsidR="000F5615" w:rsidRPr="007638A5">
        <w:t xml:space="preserve"> and has obtained the necessary regulatory approval </w:t>
      </w:r>
      <w:r w:rsidR="00C5429C" w:rsidRPr="007638A5">
        <w:t>or appropriate technical standards to ensure its safety and reliability. These programmes support the piloting</w:t>
      </w:r>
      <w:r w:rsidR="00105126" w:rsidRPr="007638A5">
        <w:t xml:space="preserve"> or early deployment</w:t>
      </w:r>
      <w:r w:rsidR="00C5429C" w:rsidRPr="007638A5">
        <w:t xml:space="preserve"> of the technology </w:t>
      </w:r>
      <w:r w:rsidR="00105126" w:rsidRPr="007638A5">
        <w:t xml:space="preserve">to facilitate evidence generation </w:t>
      </w:r>
      <w:r w:rsidR="00C5429C" w:rsidRPr="007638A5">
        <w:t xml:space="preserve">to </w:t>
      </w:r>
      <w:r w:rsidR="0067595C">
        <w:t>demonstrate its effectiveness, place in the</w:t>
      </w:r>
      <w:r w:rsidR="00C5429C" w:rsidRPr="007638A5">
        <w:t xml:space="preserve"> care pathway</w:t>
      </w:r>
      <w:r w:rsidR="0067595C">
        <w:t>,</w:t>
      </w:r>
      <w:r w:rsidR="00C5429C" w:rsidRPr="007638A5">
        <w:t xml:space="preserve"> and economic impact. </w:t>
      </w:r>
    </w:p>
    <w:p w14:paraId="5EC03443" w14:textId="32AEE89E" w:rsidR="00615C22" w:rsidRPr="007638A5" w:rsidRDefault="00CB3713" w:rsidP="00615C22">
      <w:pPr>
        <w:pStyle w:val="NICEnormal"/>
      </w:pPr>
      <w:r>
        <w:t xml:space="preserve">The early deployment (ED) </w:t>
      </w:r>
      <w:r w:rsidR="00782922" w:rsidRPr="007638A5">
        <w:t xml:space="preserve">subset of the </w:t>
      </w:r>
      <w:r w:rsidR="00C5429C" w:rsidRPr="007638A5">
        <w:t xml:space="preserve">ESF </w:t>
      </w:r>
      <w:r w:rsidR="00782922" w:rsidRPr="007638A5">
        <w:t xml:space="preserve">standards can be used </w:t>
      </w:r>
      <w:r w:rsidR="00B228F8">
        <w:t xml:space="preserve">to </w:t>
      </w:r>
      <w:r>
        <w:t>assess</w:t>
      </w:r>
      <w:r w:rsidR="00782922" w:rsidRPr="007638A5">
        <w:t xml:space="preserve"> </w:t>
      </w:r>
      <w:r>
        <w:t>DHTs</w:t>
      </w:r>
      <w:r w:rsidRPr="007638A5">
        <w:t xml:space="preserve"> </w:t>
      </w:r>
      <w:r w:rsidR="00782922" w:rsidRPr="007638A5">
        <w:t xml:space="preserve">considered </w:t>
      </w:r>
      <w:r>
        <w:t>for</w:t>
      </w:r>
      <w:r w:rsidR="004056C4">
        <w:t xml:space="preserve"> </w:t>
      </w:r>
      <w:r w:rsidR="004056C4" w:rsidRPr="00AF6E34">
        <w:t>us</w:t>
      </w:r>
      <w:r w:rsidR="0051571A">
        <w:t>e</w:t>
      </w:r>
      <w:r w:rsidR="004056C4">
        <w:t xml:space="preserve"> in</w:t>
      </w:r>
      <w:r>
        <w:t xml:space="preserve"> </w:t>
      </w:r>
      <w:r w:rsidR="00782922" w:rsidRPr="007638A5">
        <w:t>an evidence</w:t>
      </w:r>
      <w:r w:rsidR="00CB5CE5">
        <w:t>-</w:t>
      </w:r>
      <w:r w:rsidR="00782922" w:rsidRPr="007638A5">
        <w:t xml:space="preserve">generation programme. </w:t>
      </w:r>
      <w:r w:rsidR="004056C4">
        <w:t>T</w:t>
      </w:r>
      <w:r>
        <w:t>he ED subset includes</w:t>
      </w:r>
      <w:r w:rsidR="005A79A3" w:rsidRPr="007638A5">
        <w:t xml:space="preserve"> </w:t>
      </w:r>
      <w:r w:rsidR="00991A44">
        <w:t>15</w:t>
      </w:r>
      <w:r w:rsidR="004056C4" w:rsidRPr="007638A5">
        <w:t xml:space="preserve"> </w:t>
      </w:r>
      <w:r w:rsidR="005A79A3" w:rsidRPr="007638A5">
        <w:t xml:space="preserve">standards: </w:t>
      </w:r>
    </w:p>
    <w:p w14:paraId="0EA1C855" w14:textId="573585B6" w:rsidR="00615C22" w:rsidRPr="007638A5" w:rsidRDefault="00615C22" w:rsidP="00BE7E2E">
      <w:pPr>
        <w:pStyle w:val="Bulletleft1"/>
      </w:pPr>
      <w:r w:rsidRPr="00CB5CE5">
        <w:rPr>
          <w:b/>
          <w:bCs/>
        </w:rPr>
        <w:t>Design factors:</w:t>
      </w:r>
      <w:r w:rsidRPr="007638A5">
        <w:t xml:space="preserve"> </w:t>
      </w:r>
      <w:r w:rsidR="00B228F8">
        <w:t>8</w:t>
      </w:r>
      <w:r w:rsidRPr="007638A5">
        <w:t xml:space="preserve"> standards </w:t>
      </w:r>
      <w:r w:rsidR="00CB3713">
        <w:t xml:space="preserve">that </w:t>
      </w:r>
      <w:r w:rsidRPr="007638A5">
        <w:t xml:space="preserve">identify key aspects of the design process </w:t>
      </w:r>
      <w:r w:rsidR="00CB5CE5">
        <w:t>that</w:t>
      </w:r>
      <w:r w:rsidR="00CB5CE5" w:rsidRPr="007638A5">
        <w:t xml:space="preserve"> </w:t>
      </w:r>
      <w:r w:rsidRPr="007638A5">
        <w:t>impact on the DHT</w:t>
      </w:r>
      <w:r w:rsidR="00DC6317" w:rsidRPr="007638A5">
        <w:t>’</w:t>
      </w:r>
      <w:r w:rsidRPr="007638A5">
        <w:t xml:space="preserve">s value to the health and care system. </w:t>
      </w:r>
    </w:p>
    <w:p w14:paraId="6F8F1E1F" w14:textId="5E592660" w:rsidR="00615C22" w:rsidRPr="007638A5" w:rsidRDefault="00615C22" w:rsidP="00BE7E2E">
      <w:pPr>
        <w:pStyle w:val="Bulletleft1"/>
      </w:pPr>
      <w:r w:rsidRPr="00CB5CE5">
        <w:rPr>
          <w:b/>
          <w:bCs/>
        </w:rPr>
        <w:t>Describing value:</w:t>
      </w:r>
      <w:r w:rsidRPr="007638A5">
        <w:t xml:space="preserve"> 4 standards</w:t>
      </w:r>
      <w:r w:rsidR="00CB3713">
        <w:t xml:space="preserve"> that</w:t>
      </w:r>
      <w:r w:rsidRPr="007638A5">
        <w:t xml:space="preserve"> present the value proposition of the technology.</w:t>
      </w:r>
    </w:p>
    <w:p w14:paraId="23F7CCDD" w14:textId="45B6422A" w:rsidR="00615C22" w:rsidRDefault="00615C22" w:rsidP="00991A44">
      <w:pPr>
        <w:pStyle w:val="Bulletleft1"/>
      </w:pPr>
      <w:r w:rsidRPr="00CB5CE5">
        <w:rPr>
          <w:b/>
          <w:bCs/>
        </w:rPr>
        <w:t>Demonstrating performance:</w:t>
      </w:r>
      <w:r w:rsidRPr="007638A5">
        <w:t xml:space="preserve"> </w:t>
      </w:r>
      <w:r w:rsidR="00FE582D">
        <w:t>1 standard that shows t</w:t>
      </w:r>
      <w:r w:rsidR="00A96A2E">
        <w:t xml:space="preserve">he </w:t>
      </w:r>
      <w:r w:rsidR="00CB3713">
        <w:t>DH</w:t>
      </w:r>
      <w:r w:rsidR="00FE582D">
        <w:t>T has</w:t>
      </w:r>
      <w:r w:rsidR="00CB3713">
        <w:t xml:space="preserve"> a</w:t>
      </w:r>
      <w:r w:rsidR="00A96A2E">
        <w:t>ppropriate</w:t>
      </w:r>
      <w:r w:rsidR="005A79A3" w:rsidRPr="007638A5">
        <w:t xml:space="preserve"> regulatory </w:t>
      </w:r>
      <w:proofErr w:type="gramStart"/>
      <w:r w:rsidR="005A79A3" w:rsidRPr="007638A5">
        <w:t>approval</w:t>
      </w:r>
      <w:r w:rsidR="00A96A2E">
        <w:t>,</w:t>
      </w:r>
      <w:r w:rsidR="005A79A3" w:rsidRPr="007638A5">
        <w:t xml:space="preserve"> </w:t>
      </w:r>
      <w:r w:rsidR="00A96A2E">
        <w:t>and</w:t>
      </w:r>
      <w:proofErr w:type="gramEnd"/>
      <w:r w:rsidR="00A96A2E">
        <w:t xml:space="preserve"> </w:t>
      </w:r>
      <w:r w:rsidR="00FE582D">
        <w:t>has</w:t>
      </w:r>
      <w:r w:rsidR="00A96A2E">
        <w:t xml:space="preserve"> met</w:t>
      </w:r>
      <w:r w:rsidR="005A79A3" w:rsidRPr="007638A5">
        <w:t xml:space="preserve"> the appropriate technical standards.</w:t>
      </w:r>
    </w:p>
    <w:p w14:paraId="71887C5E" w14:textId="4271C61C" w:rsidR="00FE582D" w:rsidRPr="00FE582D" w:rsidRDefault="00FE582D" w:rsidP="00991A44">
      <w:pPr>
        <w:pStyle w:val="Bulletleft1"/>
        <w:rPr>
          <w:b/>
          <w:bCs/>
        </w:rPr>
      </w:pPr>
      <w:r w:rsidRPr="00FE582D">
        <w:rPr>
          <w:b/>
          <w:bCs/>
        </w:rPr>
        <w:t>Delivering value</w:t>
      </w:r>
      <w:r>
        <w:rPr>
          <w:b/>
          <w:bCs/>
        </w:rPr>
        <w:t>:</w:t>
      </w:r>
      <w:r w:rsidRPr="00FE582D">
        <w:rPr>
          <w:b/>
          <w:bCs/>
        </w:rPr>
        <w:t xml:space="preserve"> </w:t>
      </w:r>
      <w:r w:rsidRPr="00FE582D">
        <w:t xml:space="preserve">1 </w:t>
      </w:r>
      <w:r>
        <w:t>s</w:t>
      </w:r>
      <w:r w:rsidRPr="00FE582D">
        <w:t>tandard that shows the</w:t>
      </w:r>
      <w:r>
        <w:rPr>
          <w:b/>
          <w:bCs/>
        </w:rPr>
        <w:t xml:space="preserve"> </w:t>
      </w:r>
      <w:r w:rsidRPr="00D10E7D">
        <w:t>company</w:t>
      </w:r>
      <w:r w:rsidRPr="00D10E7D" w:rsidDel="00D10E7D">
        <w:t xml:space="preserve"> </w:t>
      </w:r>
      <w:r w:rsidRPr="007638A5">
        <w:t xml:space="preserve">and the </w:t>
      </w:r>
      <w:r>
        <w:t>evaluator</w:t>
      </w:r>
      <w:r w:rsidRPr="007638A5">
        <w:t xml:space="preserve"> should reach an agreement for ongoing data collection</w:t>
      </w:r>
      <w:r w:rsidR="0051571A">
        <w:t>.</w:t>
      </w:r>
    </w:p>
    <w:p w14:paraId="16474C54" w14:textId="6CC01228" w:rsidR="00DE4715" w:rsidRPr="007638A5" w:rsidRDefault="00DE4715" w:rsidP="00BE7E2E">
      <w:pPr>
        <w:pStyle w:val="Bulletleft1last"/>
      </w:pPr>
      <w:r>
        <w:rPr>
          <w:b/>
          <w:bCs/>
        </w:rPr>
        <w:t xml:space="preserve">Deployment considerations: </w:t>
      </w:r>
      <w:r w:rsidR="00FE582D">
        <w:t xml:space="preserve">1 standard that </w:t>
      </w:r>
      <w:r w:rsidR="00A3746D">
        <w:t>describes the communication strategies that are in place for service users and health and care professionals.</w:t>
      </w:r>
    </w:p>
    <w:p w14:paraId="7A54E10A" w14:textId="52E319AE" w:rsidR="004F0672" w:rsidRPr="007638A5" w:rsidRDefault="004F0672" w:rsidP="004F0672">
      <w:pPr>
        <w:pStyle w:val="Heading3"/>
      </w:pPr>
      <w:r w:rsidRPr="007638A5">
        <w:t>Summary of early deployment standards</w:t>
      </w:r>
    </w:p>
    <w:p w14:paraId="7F5249F4" w14:textId="40090A97" w:rsidR="008A6A67" w:rsidRPr="007638A5" w:rsidRDefault="00CB5CE5" w:rsidP="009F1F47">
      <w:pPr>
        <w:pStyle w:val="NICEnormal"/>
      </w:pPr>
      <w:r>
        <w:t>T</w:t>
      </w:r>
      <w:r w:rsidR="008A6A67" w:rsidRPr="007638A5">
        <w:t xml:space="preserve">ables </w:t>
      </w:r>
      <w:r>
        <w:t xml:space="preserve">8 to </w:t>
      </w:r>
      <w:r w:rsidR="0051571A">
        <w:t>12</w:t>
      </w:r>
      <w:r w:rsidR="008655F8">
        <w:t xml:space="preserve"> </w:t>
      </w:r>
      <w:r w:rsidR="008A6A67" w:rsidRPr="007638A5">
        <w:t>summarise the 1</w:t>
      </w:r>
      <w:r w:rsidR="00991A44">
        <w:t xml:space="preserve">5 </w:t>
      </w:r>
      <w:r w:rsidR="00F61D2F">
        <w:t xml:space="preserve">ED </w:t>
      </w:r>
      <w:r w:rsidR="008A6A67" w:rsidRPr="007638A5">
        <w:t xml:space="preserve">standards </w:t>
      </w:r>
      <w:bookmarkStart w:id="86" w:name="_Hlk98507177"/>
      <w:r>
        <w:t xml:space="preserve">that </w:t>
      </w:r>
      <w:r w:rsidR="008A6A67" w:rsidRPr="007638A5">
        <w:t>are suggested for early deployment technologies being considered for an evidence</w:t>
      </w:r>
      <w:r w:rsidR="00CF39D3">
        <w:t>-</w:t>
      </w:r>
      <w:r w:rsidR="008A6A67" w:rsidRPr="007638A5">
        <w:t>generation programme</w:t>
      </w:r>
      <w:bookmarkEnd w:id="86"/>
      <w:r w:rsidR="008A6A67" w:rsidRPr="007638A5">
        <w:t xml:space="preserve">. </w:t>
      </w:r>
    </w:p>
    <w:p w14:paraId="755A3646" w14:textId="52C6C333" w:rsidR="004F0672" w:rsidRDefault="00E96A3C" w:rsidP="00A3746D">
      <w:pPr>
        <w:pStyle w:val="Caption"/>
      </w:pPr>
      <w:r w:rsidRPr="007638A5">
        <w:t xml:space="preserve">Table </w:t>
      </w:r>
      <w:r w:rsidR="00CB5CE5">
        <w:t>8</w:t>
      </w:r>
      <w:r w:rsidRPr="007638A5">
        <w:t xml:space="preserve"> Design factors</w:t>
      </w:r>
      <w:r w:rsidR="00D813D4">
        <w:t xml:space="preserve"> </w:t>
      </w:r>
      <w:r w:rsidR="00F404AB">
        <w:t xml:space="preserve">standards </w:t>
      </w:r>
      <w:r w:rsidR="00D813D4">
        <w:t>included in ED standards</w:t>
      </w:r>
    </w:p>
    <w:tbl>
      <w:tblPr>
        <w:tblStyle w:val="TableGrid"/>
        <w:tblW w:w="0" w:type="auto"/>
        <w:tblLook w:val="04A0" w:firstRow="1" w:lastRow="0" w:firstColumn="1" w:lastColumn="0" w:noHBand="0" w:noVBand="1"/>
        <w:tblCaption w:val="Table 3 Design factors"/>
        <w:tblDescription w:val="The table summarises the 7 design factors standards, which identify key aspects of the design process that impact the DHT’s value to the health and care system"/>
      </w:tblPr>
      <w:tblGrid>
        <w:gridCol w:w="6232"/>
        <w:gridCol w:w="2785"/>
      </w:tblGrid>
      <w:tr w:rsidR="00006DE9" w:rsidRPr="007638A5" w14:paraId="76515288" w14:textId="77777777" w:rsidTr="00FB7858">
        <w:tc>
          <w:tcPr>
            <w:tcW w:w="6232" w:type="dxa"/>
          </w:tcPr>
          <w:p w14:paraId="535B38E1" w14:textId="77777777" w:rsidR="00006DE9" w:rsidRPr="007638A5" w:rsidRDefault="00006DE9" w:rsidP="00FB7858">
            <w:pPr>
              <w:pStyle w:val="Tableheading"/>
            </w:pPr>
            <w:r w:rsidRPr="007638A5">
              <w:t>Standard</w:t>
            </w:r>
          </w:p>
        </w:tc>
        <w:tc>
          <w:tcPr>
            <w:tcW w:w="2785" w:type="dxa"/>
          </w:tcPr>
          <w:p w14:paraId="6DA1E168" w14:textId="44E0B173" w:rsidR="00006DE9" w:rsidRPr="007638A5" w:rsidRDefault="00006DE9" w:rsidP="00FB7858">
            <w:pPr>
              <w:pStyle w:val="Tableheading"/>
            </w:pPr>
            <w:r>
              <w:t>Tiers to which the evidence standard applies</w:t>
            </w:r>
          </w:p>
        </w:tc>
      </w:tr>
      <w:tr w:rsidR="00006DE9" w:rsidRPr="007638A5" w14:paraId="3ECC2311" w14:textId="77777777" w:rsidTr="00FB7858">
        <w:tc>
          <w:tcPr>
            <w:tcW w:w="6232" w:type="dxa"/>
          </w:tcPr>
          <w:p w14:paraId="28D82012" w14:textId="77777777" w:rsidR="00006DE9" w:rsidRPr="007638A5" w:rsidRDefault="003E2578" w:rsidP="00FB7858">
            <w:pPr>
              <w:pStyle w:val="Tabletext"/>
            </w:pPr>
            <w:hyperlink w:anchor="_Information_that_can" w:history="1">
              <w:r w:rsidR="00006DE9" w:rsidRPr="00EC1D67">
                <w:rPr>
                  <w:rStyle w:val="Hyperlink"/>
                </w:rPr>
                <w:t>1: incorporate service user acceptability in the design of the DHT</w:t>
              </w:r>
            </w:hyperlink>
          </w:p>
        </w:tc>
        <w:tc>
          <w:tcPr>
            <w:tcW w:w="2785" w:type="dxa"/>
          </w:tcPr>
          <w:p w14:paraId="06532557" w14:textId="77777777" w:rsidR="00006DE9" w:rsidRPr="007638A5" w:rsidRDefault="00006DE9" w:rsidP="00FB7858">
            <w:pPr>
              <w:pStyle w:val="Tabletext"/>
            </w:pPr>
            <w:r w:rsidRPr="007638A5">
              <w:t>A, B and C</w:t>
            </w:r>
          </w:p>
        </w:tc>
      </w:tr>
      <w:tr w:rsidR="00006DE9" w:rsidRPr="007638A5" w14:paraId="26A77C35" w14:textId="77777777" w:rsidTr="00FB7858">
        <w:tc>
          <w:tcPr>
            <w:tcW w:w="6232" w:type="dxa"/>
          </w:tcPr>
          <w:p w14:paraId="386A2050" w14:textId="77777777" w:rsidR="00006DE9" w:rsidRPr="007638A5" w:rsidRDefault="003E2578" w:rsidP="00FB7858">
            <w:pPr>
              <w:pStyle w:val="Tabletext"/>
            </w:pPr>
            <w:hyperlink w:anchor="_Information_that_can_1" w:history="1">
              <w:r w:rsidR="00006DE9" w:rsidRPr="00F10511">
                <w:rPr>
                  <w:rStyle w:val="Hyperlink"/>
                </w:rPr>
                <w:t>2: consider environmental sustainability</w:t>
              </w:r>
            </w:hyperlink>
          </w:p>
        </w:tc>
        <w:tc>
          <w:tcPr>
            <w:tcW w:w="2785" w:type="dxa"/>
          </w:tcPr>
          <w:p w14:paraId="5A666E6F" w14:textId="77777777" w:rsidR="00006DE9" w:rsidRPr="007638A5" w:rsidRDefault="00006DE9" w:rsidP="00FB7858">
            <w:pPr>
              <w:pStyle w:val="Tabletext"/>
            </w:pPr>
            <w:r w:rsidRPr="007638A5">
              <w:t>A, B and C</w:t>
            </w:r>
          </w:p>
        </w:tc>
      </w:tr>
      <w:tr w:rsidR="00006DE9" w:rsidRPr="007638A5" w14:paraId="33334198" w14:textId="77777777" w:rsidTr="00FB7858">
        <w:tc>
          <w:tcPr>
            <w:tcW w:w="6232" w:type="dxa"/>
          </w:tcPr>
          <w:p w14:paraId="0254B59B" w14:textId="77777777" w:rsidR="00006DE9" w:rsidRDefault="003E2578" w:rsidP="00FB7858">
            <w:pPr>
              <w:pStyle w:val="Tabletext"/>
            </w:pPr>
            <w:hyperlink w:anchor="_Standard_3:_consider" w:history="1">
              <w:r w:rsidR="00006DE9">
                <w:rPr>
                  <w:rStyle w:val="Hyperlink"/>
                </w:rPr>
                <w:t>3</w:t>
              </w:r>
              <w:r w:rsidR="00006DE9" w:rsidRPr="00C70A8A">
                <w:rPr>
                  <w:rStyle w:val="Hyperlink"/>
                </w:rPr>
                <w:t>: consider health and care inequalities and bias mitigation</w:t>
              </w:r>
            </w:hyperlink>
          </w:p>
        </w:tc>
        <w:tc>
          <w:tcPr>
            <w:tcW w:w="2785" w:type="dxa"/>
          </w:tcPr>
          <w:p w14:paraId="06C79F34" w14:textId="77777777" w:rsidR="00006DE9" w:rsidRPr="007638A5" w:rsidRDefault="00006DE9" w:rsidP="00FB7858">
            <w:pPr>
              <w:pStyle w:val="Tabletext"/>
            </w:pPr>
            <w:r w:rsidRPr="007638A5">
              <w:t>A, B and C</w:t>
            </w:r>
          </w:p>
        </w:tc>
      </w:tr>
      <w:tr w:rsidR="00006DE9" w:rsidRPr="007638A5" w14:paraId="64466E30" w14:textId="77777777" w:rsidTr="00FB7858">
        <w:tc>
          <w:tcPr>
            <w:tcW w:w="6232" w:type="dxa"/>
          </w:tcPr>
          <w:p w14:paraId="50683B6D" w14:textId="77777777" w:rsidR="00006DE9" w:rsidRPr="007638A5" w:rsidRDefault="003E2578" w:rsidP="00FB7858">
            <w:pPr>
              <w:pStyle w:val="Tabletext"/>
            </w:pPr>
            <w:hyperlink w:anchor="_Standard_34:_embed" w:history="1">
              <w:r w:rsidR="00006DE9">
                <w:rPr>
                  <w:rStyle w:val="Hyperlink"/>
                </w:rPr>
                <w:t>4</w:t>
              </w:r>
              <w:r w:rsidR="00006DE9" w:rsidRPr="00F10511">
                <w:rPr>
                  <w:rStyle w:val="Hyperlink"/>
                </w:rPr>
                <w:t>: embed good data practices in the design of the DHT</w:t>
              </w:r>
            </w:hyperlink>
          </w:p>
        </w:tc>
        <w:tc>
          <w:tcPr>
            <w:tcW w:w="2785" w:type="dxa"/>
          </w:tcPr>
          <w:p w14:paraId="49BC9FAC" w14:textId="77777777" w:rsidR="00006DE9" w:rsidRPr="007638A5" w:rsidRDefault="00006DE9" w:rsidP="00FB7858">
            <w:pPr>
              <w:pStyle w:val="Tabletext"/>
            </w:pPr>
            <w:r w:rsidRPr="007638A5">
              <w:t>A, B and C</w:t>
            </w:r>
          </w:p>
        </w:tc>
      </w:tr>
      <w:tr w:rsidR="00006DE9" w:rsidRPr="007638A5" w14:paraId="68C871C5" w14:textId="77777777" w:rsidTr="00FB7858">
        <w:tc>
          <w:tcPr>
            <w:tcW w:w="6232" w:type="dxa"/>
          </w:tcPr>
          <w:p w14:paraId="7CFE0612" w14:textId="77777777" w:rsidR="00006DE9" w:rsidRPr="007638A5" w:rsidRDefault="003E2578" w:rsidP="00FB7858">
            <w:pPr>
              <w:pStyle w:val="Tabletext"/>
            </w:pPr>
            <w:hyperlink w:anchor="_Standard_45:_define" w:history="1">
              <w:r w:rsidR="00006DE9">
                <w:rPr>
                  <w:rStyle w:val="Hyperlink"/>
                </w:rPr>
                <w:t>5</w:t>
              </w:r>
              <w:r w:rsidR="00006DE9" w:rsidRPr="00F10511">
                <w:rPr>
                  <w:rStyle w:val="Hyperlink"/>
                </w:rPr>
                <w:t>: define the level of professional oversight</w:t>
              </w:r>
            </w:hyperlink>
          </w:p>
        </w:tc>
        <w:tc>
          <w:tcPr>
            <w:tcW w:w="2785" w:type="dxa"/>
          </w:tcPr>
          <w:p w14:paraId="383BCA30" w14:textId="77777777" w:rsidR="00006DE9" w:rsidRPr="007638A5" w:rsidRDefault="00006DE9" w:rsidP="00FB7858">
            <w:pPr>
              <w:pStyle w:val="Tabletext"/>
            </w:pPr>
            <w:r w:rsidRPr="007638A5">
              <w:t>A, B and C</w:t>
            </w:r>
          </w:p>
        </w:tc>
      </w:tr>
      <w:tr w:rsidR="00006DE9" w:rsidRPr="007638A5" w14:paraId="22DEA23B" w14:textId="77777777" w:rsidTr="00FB7858">
        <w:tc>
          <w:tcPr>
            <w:tcW w:w="6232" w:type="dxa"/>
          </w:tcPr>
          <w:p w14:paraId="6CC186B4" w14:textId="77777777" w:rsidR="00006DE9" w:rsidRPr="007638A5" w:rsidRDefault="003E2578" w:rsidP="00FB7858">
            <w:pPr>
              <w:pStyle w:val="Tabletext"/>
            </w:pPr>
            <w:hyperlink w:anchor="_Standard_56:_show" w:history="1">
              <w:r w:rsidR="00006DE9">
                <w:rPr>
                  <w:rStyle w:val="Hyperlink"/>
                </w:rPr>
                <w:t>6</w:t>
              </w:r>
              <w:r w:rsidR="00006DE9" w:rsidRPr="00F10511">
                <w:rPr>
                  <w:rStyle w:val="Hyperlink"/>
                </w:rPr>
                <w:t>: show processes for creating reliable health information</w:t>
              </w:r>
            </w:hyperlink>
          </w:p>
        </w:tc>
        <w:tc>
          <w:tcPr>
            <w:tcW w:w="2785" w:type="dxa"/>
          </w:tcPr>
          <w:p w14:paraId="5759960F" w14:textId="77777777" w:rsidR="00006DE9" w:rsidRPr="007638A5" w:rsidRDefault="00006DE9" w:rsidP="00FB7858">
            <w:pPr>
              <w:pStyle w:val="Tabletext"/>
            </w:pPr>
            <w:r w:rsidRPr="007638A5">
              <w:t>B and C</w:t>
            </w:r>
          </w:p>
        </w:tc>
      </w:tr>
      <w:tr w:rsidR="00006DE9" w:rsidRPr="007638A5" w14:paraId="763BBDA5" w14:textId="77777777" w:rsidTr="00FB7858">
        <w:tc>
          <w:tcPr>
            <w:tcW w:w="6232" w:type="dxa"/>
          </w:tcPr>
          <w:p w14:paraId="520270AC" w14:textId="77777777" w:rsidR="00006DE9" w:rsidRPr="007638A5" w:rsidRDefault="003E2578" w:rsidP="00FB7858">
            <w:pPr>
              <w:pStyle w:val="Tabletext"/>
            </w:pPr>
            <w:hyperlink w:anchor="_Standard_67:_show" w:history="1">
              <w:r w:rsidR="00006DE9">
                <w:rPr>
                  <w:rStyle w:val="Hyperlink"/>
                </w:rPr>
                <w:t>7</w:t>
              </w:r>
              <w:r w:rsidR="00006DE9" w:rsidRPr="00F10511">
                <w:rPr>
                  <w:rStyle w:val="Hyperlink"/>
                </w:rPr>
                <w:t>: show that the DHT is credible with UK professionals</w:t>
              </w:r>
            </w:hyperlink>
          </w:p>
        </w:tc>
        <w:tc>
          <w:tcPr>
            <w:tcW w:w="2785" w:type="dxa"/>
          </w:tcPr>
          <w:p w14:paraId="42A95C03" w14:textId="77777777" w:rsidR="00006DE9" w:rsidRPr="007638A5" w:rsidRDefault="00006DE9" w:rsidP="00FB7858">
            <w:pPr>
              <w:pStyle w:val="Tabletext"/>
            </w:pPr>
            <w:r w:rsidRPr="007638A5">
              <w:t>B and C</w:t>
            </w:r>
          </w:p>
        </w:tc>
      </w:tr>
      <w:tr w:rsidR="00006DE9" w:rsidRPr="007638A5" w14:paraId="31C664F8" w14:textId="77777777" w:rsidTr="00FB7858">
        <w:tc>
          <w:tcPr>
            <w:tcW w:w="6232" w:type="dxa"/>
          </w:tcPr>
          <w:p w14:paraId="6CE76BFC" w14:textId="77777777" w:rsidR="00006DE9" w:rsidRPr="007638A5" w:rsidRDefault="003E2578" w:rsidP="00FB7858">
            <w:pPr>
              <w:pStyle w:val="Tabletext"/>
            </w:pPr>
            <w:hyperlink w:anchor="_Standard_78:_provide" w:history="1">
              <w:r w:rsidR="00006DE9">
                <w:rPr>
                  <w:rStyle w:val="Hyperlink"/>
                </w:rPr>
                <w:t>8</w:t>
              </w:r>
              <w:r w:rsidR="00006DE9" w:rsidRPr="00F10511">
                <w:rPr>
                  <w:rStyle w:val="Hyperlink"/>
                </w:rPr>
                <w:t xml:space="preserve">: provide safeguarding assurances for DHTs where service users </w:t>
              </w:r>
              <w:proofErr w:type="gramStart"/>
              <w:r w:rsidR="00006DE9" w:rsidRPr="00F10511">
                <w:rPr>
                  <w:rStyle w:val="Hyperlink"/>
                </w:rPr>
                <w:t>are considered to be</w:t>
              </w:r>
              <w:proofErr w:type="gramEnd"/>
              <w:r w:rsidR="00006DE9" w:rsidRPr="00F10511">
                <w:rPr>
                  <w:rStyle w:val="Hyperlink"/>
                </w:rPr>
                <w:t xml:space="preserve"> in vulnerable groups, or where peer-peer interaction is enabled</w:t>
              </w:r>
            </w:hyperlink>
          </w:p>
        </w:tc>
        <w:tc>
          <w:tcPr>
            <w:tcW w:w="2785" w:type="dxa"/>
          </w:tcPr>
          <w:p w14:paraId="052684EF" w14:textId="77777777" w:rsidR="00006DE9" w:rsidRPr="007638A5" w:rsidRDefault="00006DE9" w:rsidP="00FB7858">
            <w:pPr>
              <w:pStyle w:val="Tabletext"/>
            </w:pPr>
            <w:r w:rsidRPr="007638A5">
              <w:t>B and C</w:t>
            </w:r>
          </w:p>
        </w:tc>
      </w:tr>
    </w:tbl>
    <w:p w14:paraId="74C90746" w14:textId="0779EE90" w:rsidR="002F7DBB" w:rsidRPr="007638A5" w:rsidRDefault="002F7DBB" w:rsidP="002F7DBB">
      <w:pPr>
        <w:pStyle w:val="Caption"/>
      </w:pPr>
      <w:r w:rsidRPr="007638A5">
        <w:t xml:space="preserve">Table </w:t>
      </w:r>
      <w:r w:rsidR="00CB5CE5">
        <w:t>9</w:t>
      </w:r>
      <w:r w:rsidRPr="007638A5">
        <w:t xml:space="preserve"> Describing value</w:t>
      </w:r>
      <w:r w:rsidR="00D813D4">
        <w:t xml:space="preserve"> </w:t>
      </w:r>
      <w:r w:rsidR="00F404AB" w:rsidRPr="00F404AB">
        <w:t>standards</w:t>
      </w:r>
      <w:r w:rsidR="00D813D4" w:rsidRPr="00AF6E34">
        <w:t xml:space="preserve"> </w:t>
      </w:r>
      <w:r w:rsidR="00D813D4">
        <w:t>included in ED standards</w:t>
      </w:r>
    </w:p>
    <w:tbl>
      <w:tblPr>
        <w:tblStyle w:val="TableGrid"/>
        <w:tblW w:w="0" w:type="auto"/>
        <w:tblLook w:val="04A0" w:firstRow="1" w:lastRow="0" w:firstColumn="1" w:lastColumn="0" w:noHBand="0" w:noVBand="1"/>
        <w:tblCaption w:val="Table 9 Describing value"/>
        <w:tblDescription w:val="The table summarises the 4 describing value standards that are suggested for early deployment technologies being considered for an evidence-generation programme"/>
      </w:tblPr>
      <w:tblGrid>
        <w:gridCol w:w="6232"/>
        <w:gridCol w:w="2785"/>
      </w:tblGrid>
      <w:tr w:rsidR="009E3B69" w:rsidRPr="007638A5" w14:paraId="37850AF6" w14:textId="77777777" w:rsidTr="00CF39D3">
        <w:tc>
          <w:tcPr>
            <w:tcW w:w="6232" w:type="dxa"/>
          </w:tcPr>
          <w:p w14:paraId="1945A6A1" w14:textId="77777777" w:rsidR="002F7DBB" w:rsidRPr="007638A5" w:rsidRDefault="002F7DBB" w:rsidP="00FB7858">
            <w:pPr>
              <w:pStyle w:val="Tableheading"/>
            </w:pPr>
            <w:r w:rsidRPr="007638A5">
              <w:t>Standard</w:t>
            </w:r>
          </w:p>
        </w:tc>
        <w:tc>
          <w:tcPr>
            <w:tcW w:w="2785" w:type="dxa"/>
          </w:tcPr>
          <w:p w14:paraId="2016287C" w14:textId="326BF3B7" w:rsidR="002F7DBB" w:rsidRPr="007638A5" w:rsidRDefault="004056C4" w:rsidP="00FB7858">
            <w:pPr>
              <w:pStyle w:val="Tableheading"/>
            </w:pPr>
            <w:r>
              <w:t xml:space="preserve">Tiers </w:t>
            </w:r>
            <w:r w:rsidR="008D5EB6">
              <w:t>to</w:t>
            </w:r>
            <w:r>
              <w:t xml:space="preserve"> which the evidence standard applies</w:t>
            </w:r>
          </w:p>
        </w:tc>
      </w:tr>
      <w:tr w:rsidR="009E3B69" w:rsidRPr="007638A5" w14:paraId="18659918" w14:textId="77777777" w:rsidTr="00CF39D3">
        <w:tc>
          <w:tcPr>
            <w:tcW w:w="6232" w:type="dxa"/>
          </w:tcPr>
          <w:p w14:paraId="027F8F4D" w14:textId="0661B5D5" w:rsidR="002F7DBB" w:rsidRPr="007638A5" w:rsidRDefault="003E2578" w:rsidP="00FB7858">
            <w:pPr>
              <w:pStyle w:val="Tabletext"/>
            </w:pPr>
            <w:hyperlink w:anchor="_Standard_8:_describe" w:history="1">
              <w:r w:rsidR="00166AAC">
                <w:rPr>
                  <w:rStyle w:val="Hyperlink"/>
                </w:rPr>
                <w:t>9</w:t>
              </w:r>
              <w:r w:rsidR="002F7DBB" w:rsidRPr="00637C38">
                <w:rPr>
                  <w:rStyle w:val="Hyperlink"/>
                </w:rPr>
                <w:t xml:space="preserve">: describe the intended </w:t>
              </w:r>
              <w:r w:rsidR="004B11F1">
                <w:rPr>
                  <w:rStyle w:val="Hyperlink"/>
                </w:rPr>
                <w:t>purpose</w:t>
              </w:r>
              <w:r w:rsidR="002F7DBB" w:rsidRPr="00637C38">
                <w:rPr>
                  <w:rStyle w:val="Hyperlink"/>
                </w:rPr>
                <w:t xml:space="preserve"> and target population</w:t>
              </w:r>
            </w:hyperlink>
          </w:p>
        </w:tc>
        <w:tc>
          <w:tcPr>
            <w:tcW w:w="2785" w:type="dxa"/>
          </w:tcPr>
          <w:p w14:paraId="72A91F10" w14:textId="77777777" w:rsidR="002F7DBB" w:rsidRPr="007638A5" w:rsidRDefault="002F7DBB" w:rsidP="00FB7858">
            <w:pPr>
              <w:pStyle w:val="Tabletext"/>
            </w:pPr>
            <w:r w:rsidRPr="007638A5">
              <w:t>A, B and C</w:t>
            </w:r>
          </w:p>
        </w:tc>
      </w:tr>
      <w:tr w:rsidR="009E3B69" w:rsidRPr="007638A5" w14:paraId="4F521D25" w14:textId="77777777" w:rsidTr="00CF39D3">
        <w:tc>
          <w:tcPr>
            <w:tcW w:w="6232" w:type="dxa"/>
          </w:tcPr>
          <w:p w14:paraId="3A6D9E9D" w14:textId="6D895477" w:rsidR="002F7DBB" w:rsidRPr="007638A5" w:rsidRDefault="003E2578" w:rsidP="00FB7858">
            <w:pPr>
              <w:pStyle w:val="Tabletext"/>
            </w:pPr>
            <w:hyperlink w:anchor="_Standard_9:_describe" w:history="1">
              <w:r w:rsidR="00166AAC">
                <w:rPr>
                  <w:rStyle w:val="Hyperlink"/>
                </w:rPr>
                <w:t>10</w:t>
              </w:r>
              <w:r w:rsidR="002F7DBB" w:rsidRPr="00637C38">
                <w:rPr>
                  <w:rStyle w:val="Hyperlink"/>
                </w:rPr>
                <w:t>: describe the current pathway or system process</w:t>
              </w:r>
            </w:hyperlink>
          </w:p>
        </w:tc>
        <w:tc>
          <w:tcPr>
            <w:tcW w:w="2785" w:type="dxa"/>
          </w:tcPr>
          <w:p w14:paraId="1A6AAEFA" w14:textId="77777777" w:rsidR="002F7DBB" w:rsidRPr="007638A5" w:rsidRDefault="002F7DBB" w:rsidP="00FB7858">
            <w:pPr>
              <w:pStyle w:val="Tabletext"/>
            </w:pPr>
            <w:r w:rsidRPr="007638A5">
              <w:t>A, B and C</w:t>
            </w:r>
          </w:p>
        </w:tc>
      </w:tr>
      <w:tr w:rsidR="009E3B69" w:rsidRPr="007638A5" w14:paraId="6403845D" w14:textId="77777777" w:rsidTr="00CF39D3">
        <w:tc>
          <w:tcPr>
            <w:tcW w:w="6232" w:type="dxa"/>
          </w:tcPr>
          <w:p w14:paraId="3FE01FA1" w14:textId="487A39E3" w:rsidR="002F7DBB" w:rsidRPr="007638A5" w:rsidRDefault="003E2578" w:rsidP="00FB7858">
            <w:pPr>
              <w:pStyle w:val="Tabletext"/>
            </w:pPr>
            <w:hyperlink w:anchor="_Standard_10:_describe" w:history="1">
              <w:r w:rsidR="002F7DBB" w:rsidRPr="00637C38">
                <w:rPr>
                  <w:rStyle w:val="Hyperlink"/>
                </w:rPr>
                <w:t>1</w:t>
              </w:r>
              <w:r w:rsidR="00166AAC">
                <w:rPr>
                  <w:rStyle w:val="Hyperlink"/>
                </w:rPr>
                <w:t>1</w:t>
              </w:r>
              <w:r w:rsidR="002F7DBB" w:rsidRPr="00637C38">
                <w:rPr>
                  <w:rStyle w:val="Hyperlink"/>
                </w:rPr>
                <w:t>: describe the proposed pathway or system process using the DHT</w:t>
              </w:r>
            </w:hyperlink>
          </w:p>
        </w:tc>
        <w:tc>
          <w:tcPr>
            <w:tcW w:w="2785" w:type="dxa"/>
          </w:tcPr>
          <w:p w14:paraId="142A2D4C" w14:textId="77777777" w:rsidR="002F7DBB" w:rsidRPr="007638A5" w:rsidRDefault="002F7DBB" w:rsidP="00FB7858">
            <w:pPr>
              <w:pStyle w:val="Tabletext"/>
            </w:pPr>
            <w:r w:rsidRPr="007638A5">
              <w:t>A, B and C</w:t>
            </w:r>
          </w:p>
        </w:tc>
      </w:tr>
      <w:tr w:rsidR="009E3B69" w:rsidRPr="007638A5" w14:paraId="59C3473C" w14:textId="77777777" w:rsidTr="00CF39D3">
        <w:tc>
          <w:tcPr>
            <w:tcW w:w="6232" w:type="dxa"/>
          </w:tcPr>
          <w:p w14:paraId="1115333A" w14:textId="30F9A130" w:rsidR="002F7DBB" w:rsidRPr="007638A5" w:rsidRDefault="003E2578" w:rsidP="00FB7858">
            <w:pPr>
              <w:pStyle w:val="Tabletext"/>
            </w:pPr>
            <w:hyperlink w:anchor="_Standard_11:_describe" w:history="1">
              <w:r w:rsidR="002F7DBB" w:rsidRPr="00637C38">
                <w:rPr>
                  <w:rStyle w:val="Hyperlink"/>
                </w:rPr>
                <w:t>1</w:t>
              </w:r>
              <w:r w:rsidR="00166AAC">
                <w:rPr>
                  <w:rStyle w:val="Hyperlink"/>
                </w:rPr>
                <w:t>2</w:t>
              </w:r>
              <w:r w:rsidR="002F7DBB" w:rsidRPr="00637C38">
                <w:rPr>
                  <w:rStyle w:val="Hyperlink"/>
                </w:rPr>
                <w:t xml:space="preserve">: </w:t>
              </w:r>
              <w:r w:rsidR="00166AAC" w:rsidRPr="00166AAC">
                <w:rPr>
                  <w:rStyle w:val="Hyperlink"/>
                </w:rPr>
                <w:t>describe the health and system impacts and associated cost and resource impacts compared with standard or current care</w:t>
              </w:r>
              <w:r w:rsidR="00166AAC" w:rsidRPr="00166AAC" w:rsidDel="00166AAC">
                <w:rPr>
                  <w:rStyle w:val="Hyperlink"/>
                </w:rPr>
                <w:t xml:space="preserve"> </w:t>
              </w:r>
            </w:hyperlink>
          </w:p>
        </w:tc>
        <w:tc>
          <w:tcPr>
            <w:tcW w:w="2785" w:type="dxa"/>
          </w:tcPr>
          <w:p w14:paraId="755B02D9" w14:textId="77777777" w:rsidR="002F7DBB" w:rsidRPr="007638A5" w:rsidRDefault="002F7DBB" w:rsidP="00FB7858">
            <w:pPr>
              <w:pStyle w:val="Tabletext"/>
            </w:pPr>
            <w:r w:rsidRPr="007638A5">
              <w:t>A, B and C</w:t>
            </w:r>
          </w:p>
        </w:tc>
      </w:tr>
    </w:tbl>
    <w:p w14:paraId="0A50A98E" w14:textId="042DBF1B" w:rsidR="002F7DBB" w:rsidRPr="007638A5" w:rsidRDefault="002F7DBB" w:rsidP="002F7DBB">
      <w:pPr>
        <w:pStyle w:val="Caption"/>
      </w:pPr>
      <w:r w:rsidRPr="007638A5">
        <w:t xml:space="preserve">Table </w:t>
      </w:r>
      <w:r w:rsidR="00CB5CE5">
        <w:t>10</w:t>
      </w:r>
      <w:r w:rsidRPr="007638A5">
        <w:t xml:space="preserve"> Demonstrating performance</w:t>
      </w:r>
      <w:r w:rsidR="008D5EB6">
        <w:t xml:space="preserve"> </w:t>
      </w:r>
      <w:r w:rsidR="00F404AB" w:rsidRPr="00F404AB">
        <w:t xml:space="preserve">standard </w:t>
      </w:r>
      <w:r w:rsidR="008D5EB6">
        <w:t>included in ED standards</w:t>
      </w:r>
    </w:p>
    <w:tbl>
      <w:tblPr>
        <w:tblStyle w:val="TableGrid"/>
        <w:tblW w:w="0" w:type="auto"/>
        <w:tblLook w:val="04A0" w:firstRow="1" w:lastRow="0" w:firstColumn="1" w:lastColumn="0" w:noHBand="0" w:noVBand="1"/>
        <w:tblCaption w:val="Table 10 Demonstrating performance"/>
        <w:tblDescription w:val="The table summarises the demonstrating performance standard that is suggested for early deployment technologies being considered for an evidence-generation programme"/>
      </w:tblPr>
      <w:tblGrid>
        <w:gridCol w:w="6238"/>
        <w:gridCol w:w="2779"/>
      </w:tblGrid>
      <w:tr w:rsidR="009E3B69" w:rsidRPr="007638A5" w14:paraId="3035FCC7" w14:textId="57543E16" w:rsidTr="00CF39D3">
        <w:tc>
          <w:tcPr>
            <w:tcW w:w="6238" w:type="dxa"/>
          </w:tcPr>
          <w:p w14:paraId="538566BB" w14:textId="6821D881" w:rsidR="002F7DBB" w:rsidRPr="007638A5" w:rsidRDefault="002F7DBB" w:rsidP="00FB7858">
            <w:pPr>
              <w:pStyle w:val="Tableheading"/>
            </w:pPr>
            <w:r w:rsidRPr="007638A5">
              <w:t>Standard</w:t>
            </w:r>
          </w:p>
        </w:tc>
        <w:tc>
          <w:tcPr>
            <w:tcW w:w="2779" w:type="dxa"/>
          </w:tcPr>
          <w:p w14:paraId="3FC2EBFA" w14:textId="3AA98616" w:rsidR="002F7DBB" w:rsidRPr="007638A5" w:rsidRDefault="008D5EB6" w:rsidP="00FB7858">
            <w:pPr>
              <w:pStyle w:val="Tableheading"/>
            </w:pPr>
            <w:r>
              <w:t>Tiers to which the evidence standard applies</w:t>
            </w:r>
          </w:p>
        </w:tc>
      </w:tr>
      <w:tr w:rsidR="00F61D2F" w:rsidRPr="007638A5" w14:paraId="547DF62D" w14:textId="77777777" w:rsidTr="00CF39D3">
        <w:tc>
          <w:tcPr>
            <w:tcW w:w="6238" w:type="dxa"/>
          </w:tcPr>
          <w:p w14:paraId="3D8C7DF6" w14:textId="03CEF935" w:rsidR="00F61D2F" w:rsidRPr="007638A5" w:rsidRDefault="003E2578" w:rsidP="00F61D2F">
            <w:pPr>
              <w:pStyle w:val="Tabletext"/>
            </w:pPr>
            <w:hyperlink w:anchor="_Standard_17:_the" w:history="1">
              <w:r w:rsidR="00F61D2F" w:rsidRPr="00637C38">
                <w:rPr>
                  <w:rStyle w:val="Hyperlink"/>
                </w:rPr>
                <w:t>17: the DHT should comply with relevant safety and quality standards</w:t>
              </w:r>
            </w:hyperlink>
          </w:p>
        </w:tc>
        <w:tc>
          <w:tcPr>
            <w:tcW w:w="2779" w:type="dxa"/>
          </w:tcPr>
          <w:p w14:paraId="51C90B9A" w14:textId="77777777" w:rsidR="00F61D2F" w:rsidRPr="007638A5" w:rsidRDefault="00F61D2F" w:rsidP="00F61D2F">
            <w:pPr>
              <w:pStyle w:val="Tabletext"/>
            </w:pPr>
            <w:r w:rsidRPr="007638A5">
              <w:t>A, B and C</w:t>
            </w:r>
          </w:p>
        </w:tc>
      </w:tr>
    </w:tbl>
    <w:p w14:paraId="49989C75" w14:textId="616109DD" w:rsidR="00A3746D" w:rsidRPr="007638A5" w:rsidRDefault="00A3746D" w:rsidP="00A3746D">
      <w:pPr>
        <w:pStyle w:val="Caption"/>
      </w:pPr>
      <w:r w:rsidRPr="007638A5">
        <w:t xml:space="preserve">Table </w:t>
      </w:r>
      <w:r>
        <w:t>11</w:t>
      </w:r>
      <w:r w:rsidRPr="007638A5">
        <w:t xml:space="preserve"> Delivering value</w:t>
      </w:r>
      <w:r w:rsidR="00F404AB">
        <w:t xml:space="preserve"> </w:t>
      </w:r>
      <w:r w:rsidR="00F404AB" w:rsidRPr="00F404AB">
        <w:t>standard</w:t>
      </w:r>
      <w:r w:rsidR="00F404AB">
        <w:t xml:space="preserve"> </w:t>
      </w:r>
      <w:r w:rsidR="00F404AB" w:rsidRPr="00F404AB">
        <w:t>included in ED standards</w:t>
      </w:r>
    </w:p>
    <w:tbl>
      <w:tblPr>
        <w:tblStyle w:val="TableGrid"/>
        <w:tblW w:w="0" w:type="auto"/>
        <w:tblLook w:val="04A0" w:firstRow="1" w:lastRow="0" w:firstColumn="1" w:lastColumn="0" w:noHBand="0" w:noVBand="1"/>
        <w:tblCaption w:val="Table 6 Delivering value"/>
        <w:tblDescription w:val="The table summarises the 4 delivering value standards, which apply across all tiers and show how DHTs should demonstrate their value for money. "/>
      </w:tblPr>
      <w:tblGrid>
        <w:gridCol w:w="6238"/>
        <w:gridCol w:w="2779"/>
      </w:tblGrid>
      <w:tr w:rsidR="00A3746D" w:rsidRPr="007638A5" w14:paraId="55395036" w14:textId="77777777" w:rsidTr="00FB7858">
        <w:tc>
          <w:tcPr>
            <w:tcW w:w="6238" w:type="dxa"/>
          </w:tcPr>
          <w:p w14:paraId="7EB7075F" w14:textId="77777777" w:rsidR="00A3746D" w:rsidRPr="007638A5" w:rsidRDefault="00A3746D" w:rsidP="00FB7858">
            <w:pPr>
              <w:pStyle w:val="Tableheading"/>
            </w:pPr>
            <w:r w:rsidRPr="007638A5">
              <w:t>Standard</w:t>
            </w:r>
          </w:p>
        </w:tc>
        <w:tc>
          <w:tcPr>
            <w:tcW w:w="2779" w:type="dxa"/>
          </w:tcPr>
          <w:p w14:paraId="4EA2C3AB" w14:textId="77777777" w:rsidR="00A3746D" w:rsidRPr="007638A5" w:rsidRDefault="00A3746D" w:rsidP="00FB7858">
            <w:pPr>
              <w:pStyle w:val="Tableheading"/>
            </w:pPr>
            <w:r w:rsidRPr="007638A5">
              <w:t>D</w:t>
            </w:r>
            <w:r w:rsidRPr="009F754C">
              <w:t xml:space="preserve">igital health technologies </w:t>
            </w:r>
            <w:r>
              <w:t>(D</w:t>
            </w:r>
            <w:r w:rsidRPr="007638A5">
              <w:t>HTs</w:t>
            </w:r>
            <w:r>
              <w:t>)</w:t>
            </w:r>
            <w:r w:rsidRPr="007638A5">
              <w:t xml:space="preserve"> it applies in</w:t>
            </w:r>
          </w:p>
        </w:tc>
      </w:tr>
      <w:tr w:rsidR="00A3746D" w:rsidRPr="007638A5" w14:paraId="42B94321" w14:textId="77777777" w:rsidTr="00FB7858">
        <w:tc>
          <w:tcPr>
            <w:tcW w:w="6238" w:type="dxa"/>
          </w:tcPr>
          <w:p w14:paraId="13371386" w14:textId="77777777" w:rsidR="00A3746D" w:rsidRPr="007638A5" w:rsidRDefault="003E2578" w:rsidP="00FB7858">
            <w:pPr>
              <w:pStyle w:val="Tabletext"/>
            </w:pPr>
            <w:hyperlink w:anchor="_Information_that_can_20" w:history="1">
              <w:r w:rsidR="00A3746D" w:rsidRPr="00C70A8A">
                <w:rPr>
                  <w:rStyle w:val="Hyperlink"/>
                </w:rPr>
                <w:t>21: agree a data collection plan to show value</w:t>
              </w:r>
            </w:hyperlink>
          </w:p>
        </w:tc>
        <w:tc>
          <w:tcPr>
            <w:tcW w:w="2779" w:type="dxa"/>
          </w:tcPr>
          <w:p w14:paraId="42F4C1BD" w14:textId="77777777" w:rsidR="00A3746D" w:rsidRPr="007638A5" w:rsidRDefault="00A3746D" w:rsidP="00FB7858">
            <w:pPr>
              <w:pStyle w:val="Tabletext"/>
            </w:pPr>
            <w:r w:rsidRPr="007638A5">
              <w:t>A, B and C</w:t>
            </w:r>
          </w:p>
        </w:tc>
      </w:tr>
    </w:tbl>
    <w:p w14:paraId="7A3D78EC" w14:textId="172509BE" w:rsidR="00A3746D" w:rsidRPr="007638A5" w:rsidRDefault="00A3746D" w:rsidP="00A3746D">
      <w:pPr>
        <w:pStyle w:val="Caption"/>
      </w:pPr>
      <w:r w:rsidRPr="007638A5">
        <w:t xml:space="preserve">Table </w:t>
      </w:r>
      <w:r>
        <w:t xml:space="preserve">12 </w:t>
      </w:r>
      <w:r w:rsidRPr="007638A5">
        <w:t>Deployment considerations</w:t>
      </w:r>
      <w:r w:rsidR="00F404AB">
        <w:t xml:space="preserve"> </w:t>
      </w:r>
      <w:r w:rsidR="00F404AB" w:rsidRPr="00F404AB">
        <w:t>standard</w:t>
      </w:r>
      <w:r w:rsidR="00F404AB">
        <w:t xml:space="preserve"> </w:t>
      </w:r>
      <w:r w:rsidR="00F404AB" w:rsidRPr="00F404AB">
        <w:t>included in ED standards</w:t>
      </w:r>
    </w:p>
    <w:tbl>
      <w:tblPr>
        <w:tblStyle w:val="TableGrid"/>
        <w:tblW w:w="0" w:type="auto"/>
        <w:tblLook w:val="04A0" w:firstRow="1" w:lastRow="0" w:firstColumn="1" w:lastColumn="0" w:noHBand="0" w:noVBand="1"/>
        <w:tblCaption w:val="Table 7 Deployment considerations"/>
        <w:tblDescription w:val="The table summarises the 3 deployment considerations standards, which apply across all tiers."/>
      </w:tblPr>
      <w:tblGrid>
        <w:gridCol w:w="6238"/>
        <w:gridCol w:w="2779"/>
      </w:tblGrid>
      <w:tr w:rsidR="00A3746D" w:rsidRPr="007638A5" w14:paraId="192B706D" w14:textId="77777777" w:rsidTr="00FB7858">
        <w:tc>
          <w:tcPr>
            <w:tcW w:w="6238" w:type="dxa"/>
          </w:tcPr>
          <w:p w14:paraId="2354E3F5" w14:textId="77777777" w:rsidR="00A3746D" w:rsidRPr="007638A5" w:rsidRDefault="00A3746D" w:rsidP="00FB7858">
            <w:pPr>
              <w:pStyle w:val="Tableheading"/>
            </w:pPr>
            <w:r w:rsidRPr="007638A5">
              <w:t>Standard</w:t>
            </w:r>
          </w:p>
        </w:tc>
        <w:tc>
          <w:tcPr>
            <w:tcW w:w="2779" w:type="dxa"/>
          </w:tcPr>
          <w:p w14:paraId="0AB9E8FA" w14:textId="77777777" w:rsidR="00A3746D" w:rsidRPr="007638A5" w:rsidRDefault="00A3746D" w:rsidP="00FB7858">
            <w:pPr>
              <w:pStyle w:val="Tableheading"/>
            </w:pPr>
            <w:r>
              <w:t>D</w:t>
            </w:r>
            <w:r w:rsidRPr="009F754C">
              <w:t xml:space="preserve">igital health technologies </w:t>
            </w:r>
            <w:r>
              <w:t>(</w:t>
            </w:r>
            <w:r w:rsidRPr="007638A5">
              <w:t>DHTs</w:t>
            </w:r>
            <w:r>
              <w:t>)</w:t>
            </w:r>
            <w:r w:rsidRPr="007638A5">
              <w:t xml:space="preserve"> it applies in</w:t>
            </w:r>
          </w:p>
        </w:tc>
      </w:tr>
      <w:tr w:rsidR="00A3746D" w:rsidRPr="007638A5" w14:paraId="5A642DCE" w14:textId="77777777" w:rsidTr="00FB7858">
        <w:tc>
          <w:tcPr>
            <w:tcW w:w="6238" w:type="dxa"/>
          </w:tcPr>
          <w:p w14:paraId="11942A86" w14:textId="77777777" w:rsidR="00A3746D" w:rsidRPr="007638A5" w:rsidRDefault="003E2578" w:rsidP="00FB7858">
            <w:pPr>
              <w:pStyle w:val="Tabletext"/>
            </w:pPr>
            <w:hyperlink w:anchor="_Information_that_can_22" w:history="1">
              <w:r w:rsidR="00A3746D" w:rsidRPr="00C70A8A">
                <w:rPr>
                  <w:rStyle w:val="Hyperlink"/>
                </w:rPr>
                <w:t xml:space="preserve">23: describe plans for communication, </w:t>
              </w:r>
              <w:proofErr w:type="gramStart"/>
              <w:r w:rsidR="00A3746D" w:rsidRPr="00C70A8A">
                <w:rPr>
                  <w:rStyle w:val="Hyperlink"/>
                </w:rPr>
                <w:t>consent</w:t>
              </w:r>
              <w:proofErr w:type="gramEnd"/>
              <w:r w:rsidR="00A3746D" w:rsidRPr="00C70A8A">
                <w:rPr>
                  <w:rStyle w:val="Hyperlink"/>
                </w:rPr>
                <w:t xml:space="preserve"> and training processes in place to allow the DHT to be understood by end service users</w:t>
              </w:r>
            </w:hyperlink>
          </w:p>
        </w:tc>
        <w:tc>
          <w:tcPr>
            <w:tcW w:w="2779" w:type="dxa"/>
          </w:tcPr>
          <w:p w14:paraId="7C300CB3" w14:textId="77777777" w:rsidR="00A3746D" w:rsidRPr="007638A5" w:rsidRDefault="00A3746D" w:rsidP="00FB7858">
            <w:pPr>
              <w:pStyle w:val="Tabletext"/>
            </w:pPr>
            <w:r w:rsidRPr="007638A5">
              <w:t>A, B and C</w:t>
            </w:r>
          </w:p>
        </w:tc>
      </w:tr>
    </w:tbl>
    <w:p w14:paraId="21A8F97B" w14:textId="77777777" w:rsidR="00A3746D" w:rsidRPr="007638A5" w:rsidRDefault="00A3746D" w:rsidP="008D5EB6">
      <w:pPr>
        <w:pStyle w:val="NICEnormal"/>
      </w:pPr>
    </w:p>
    <w:p w14:paraId="7921FDB5" w14:textId="3AA767FD" w:rsidR="00AF37B3" w:rsidRPr="007638A5" w:rsidRDefault="00AF37B3" w:rsidP="00581647">
      <w:pPr>
        <w:pStyle w:val="NICEnormal"/>
        <w:keepLines/>
      </w:pPr>
    </w:p>
    <w:sectPr w:rsidR="00AF37B3" w:rsidRPr="007638A5" w:rsidSect="00A57B00">
      <w:headerReference w:type="even" r:id="rId46"/>
      <w:headerReference w:type="default" r:id="rId47"/>
      <w:footerReference w:type="default" r:id="rId48"/>
      <w:headerReference w:type="first" r:id="rId4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FB62" w14:textId="77777777" w:rsidR="00AB6AB6" w:rsidRDefault="00AB6AB6">
      <w:r>
        <w:separator/>
      </w:r>
    </w:p>
  </w:endnote>
  <w:endnote w:type="continuationSeparator" w:id="0">
    <w:p w14:paraId="7E13B7C2" w14:textId="77777777" w:rsidR="00AB6AB6" w:rsidRDefault="00AB6AB6">
      <w:r>
        <w:continuationSeparator/>
      </w:r>
    </w:p>
  </w:endnote>
  <w:endnote w:type="continuationNotice" w:id="1">
    <w:p w14:paraId="4B5DED38" w14:textId="77777777" w:rsidR="00AB6AB6" w:rsidRDefault="00AB6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32960"/>
      <w:docPartObj>
        <w:docPartGallery w:val="Page Numbers (Bottom of Page)"/>
        <w:docPartUnique/>
      </w:docPartObj>
    </w:sdtPr>
    <w:sdtEndPr>
      <w:rPr>
        <w:noProof/>
      </w:rPr>
    </w:sdtEndPr>
    <w:sdtContent>
      <w:p w14:paraId="5A052F9C" w14:textId="6DA9E9BB" w:rsidR="00711627" w:rsidRDefault="0071162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1AB6812" w14:textId="6730626E" w:rsidR="00711627" w:rsidRPr="00747A52" w:rsidRDefault="00711627" w:rsidP="00747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351827"/>
      <w:docPartObj>
        <w:docPartGallery w:val="Page Numbers (Bottom of Page)"/>
        <w:docPartUnique/>
      </w:docPartObj>
    </w:sdtPr>
    <w:sdtEndPr>
      <w:rPr>
        <w:noProof/>
      </w:rPr>
    </w:sdtEndPr>
    <w:sdtContent>
      <w:p w14:paraId="73196B48" w14:textId="70089EB0" w:rsidR="00711627" w:rsidRDefault="007116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A158B" w14:textId="77777777" w:rsidR="00711627" w:rsidRDefault="00711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3E19" w14:textId="196EB6A6" w:rsidR="00711627" w:rsidRPr="00B33A95" w:rsidRDefault="00711627" w:rsidP="00B33A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751633"/>
      <w:docPartObj>
        <w:docPartGallery w:val="Page Numbers (Bottom of Page)"/>
        <w:docPartUnique/>
      </w:docPartObj>
    </w:sdtPr>
    <w:sdtEndPr>
      <w:rPr>
        <w:noProof/>
      </w:rPr>
    </w:sdtEndPr>
    <w:sdtContent>
      <w:p w14:paraId="335E4A51" w14:textId="504646AB" w:rsidR="00711627" w:rsidRDefault="007116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54BF59" w14:textId="5512A3B0" w:rsidR="00711627" w:rsidRPr="008E395A" w:rsidRDefault="00711627" w:rsidP="00D64443">
    <w:pPr>
      <w:pStyle w:val="NICE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6458" w14:textId="77777777" w:rsidR="00AB6AB6" w:rsidRDefault="00AB6AB6">
      <w:r>
        <w:separator/>
      </w:r>
    </w:p>
  </w:footnote>
  <w:footnote w:type="continuationSeparator" w:id="0">
    <w:p w14:paraId="4CE69146" w14:textId="77777777" w:rsidR="00AB6AB6" w:rsidRDefault="00AB6AB6">
      <w:r>
        <w:continuationSeparator/>
      </w:r>
    </w:p>
  </w:footnote>
  <w:footnote w:type="continuationNotice" w:id="1">
    <w:p w14:paraId="32B31B30" w14:textId="77777777" w:rsidR="00AB6AB6" w:rsidRDefault="00AB6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C5FF" w14:textId="5199904A" w:rsidR="00711627" w:rsidRDefault="00711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5A4B" w14:textId="0B4142C0" w:rsidR="00711627" w:rsidRDefault="00711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1CA" w14:textId="0086E205" w:rsidR="00711627" w:rsidRDefault="00711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B7D5" w14:textId="535BDE98" w:rsidR="00711627" w:rsidRDefault="007116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947" w14:textId="06775227" w:rsidR="00711627" w:rsidRDefault="007116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BA62" w14:textId="2876099F" w:rsidR="00711627" w:rsidRDefault="00711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E04"/>
    <w:multiLevelType w:val="hybridMultilevel"/>
    <w:tmpl w:val="252EB0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75CED"/>
    <w:multiLevelType w:val="hybridMultilevel"/>
    <w:tmpl w:val="0C0A1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B8D3711"/>
    <w:multiLevelType w:val="hybridMultilevel"/>
    <w:tmpl w:val="C87A8154"/>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470A8"/>
    <w:multiLevelType w:val="hybridMultilevel"/>
    <w:tmpl w:val="4D6CB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C3584"/>
    <w:multiLevelType w:val="multilevel"/>
    <w:tmpl w:val="22EAC1B8"/>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2D3E628C"/>
    <w:multiLevelType w:val="hybridMultilevel"/>
    <w:tmpl w:val="D24C4B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F12B46"/>
    <w:multiLevelType w:val="hybridMultilevel"/>
    <w:tmpl w:val="8CC26C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236BFD"/>
    <w:multiLevelType w:val="hybridMultilevel"/>
    <w:tmpl w:val="4964E0B6"/>
    <w:lvl w:ilvl="0" w:tplc="08090003">
      <w:start w:val="1"/>
      <w:numFmt w:val="bullet"/>
      <w:lvlText w:val="o"/>
      <w:lvlJc w:val="left"/>
      <w:pPr>
        <w:ind w:left="1288" w:hanging="360"/>
      </w:pPr>
      <w:rPr>
        <w:rFonts w:ascii="Courier New" w:hAnsi="Courier New" w:cs="Courier New"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842186"/>
    <w:multiLevelType w:val="hybridMultilevel"/>
    <w:tmpl w:val="A63E270C"/>
    <w:lvl w:ilvl="0" w:tplc="08090003">
      <w:start w:val="1"/>
      <w:numFmt w:val="bullet"/>
      <w:lvlText w:val="o"/>
      <w:lvlJc w:val="left"/>
      <w:pPr>
        <w:ind w:left="1288" w:hanging="360"/>
      </w:pPr>
      <w:rPr>
        <w:rFonts w:ascii="Courier New" w:hAnsi="Courier New" w:cs="Courier New"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62AA60AF"/>
    <w:multiLevelType w:val="hybridMultilevel"/>
    <w:tmpl w:val="7C6EF8BA"/>
    <w:lvl w:ilvl="0" w:tplc="B06CAF4C">
      <w:start w:val="1"/>
      <w:numFmt w:val="bullet"/>
      <w:pStyle w:val="Bulletleft1"/>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9005A"/>
    <w:multiLevelType w:val="hybridMultilevel"/>
    <w:tmpl w:val="5B88D2C6"/>
    <w:lvl w:ilvl="0" w:tplc="08090003">
      <w:start w:val="1"/>
      <w:numFmt w:val="bullet"/>
      <w:lvlText w:val="o"/>
      <w:lvlJc w:val="left"/>
      <w:pPr>
        <w:ind w:left="1288" w:hanging="360"/>
      </w:pPr>
      <w:rPr>
        <w:rFonts w:ascii="Courier New" w:hAnsi="Courier New" w:cs="Courier New"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9"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351576"/>
    <w:multiLevelType w:val="hybridMultilevel"/>
    <w:tmpl w:val="B106A34C"/>
    <w:lvl w:ilvl="0" w:tplc="08090003">
      <w:start w:val="1"/>
      <w:numFmt w:val="bullet"/>
      <w:lvlText w:val="o"/>
      <w:lvlJc w:val="left"/>
      <w:pPr>
        <w:ind w:left="1134" w:hanging="454"/>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284758">
    <w:abstractNumId w:val="3"/>
  </w:num>
  <w:num w:numId="2" w16cid:durableId="560793214">
    <w:abstractNumId w:val="20"/>
  </w:num>
  <w:num w:numId="3" w16cid:durableId="943462807">
    <w:abstractNumId w:val="11"/>
  </w:num>
  <w:num w:numId="4" w16cid:durableId="1469397429">
    <w:abstractNumId w:val="12"/>
  </w:num>
  <w:num w:numId="5" w16cid:durableId="429854091">
    <w:abstractNumId w:val="2"/>
  </w:num>
  <w:num w:numId="6" w16cid:durableId="1044669592">
    <w:abstractNumId w:val="5"/>
  </w:num>
  <w:num w:numId="7" w16cid:durableId="1550456405">
    <w:abstractNumId w:val="7"/>
  </w:num>
  <w:num w:numId="8" w16cid:durableId="229269368">
    <w:abstractNumId w:val="9"/>
  </w:num>
  <w:num w:numId="9" w16cid:durableId="1562209627">
    <w:abstractNumId w:val="21"/>
  </w:num>
  <w:num w:numId="10" w16cid:durableId="899481710">
    <w:abstractNumId w:val="8"/>
  </w:num>
  <w:num w:numId="11" w16cid:durableId="804004204">
    <w:abstractNumId w:val="4"/>
  </w:num>
  <w:num w:numId="12" w16cid:durableId="2035960858">
    <w:abstractNumId w:val="17"/>
  </w:num>
  <w:num w:numId="13" w16cid:durableId="1057124286">
    <w:abstractNumId w:val="19"/>
  </w:num>
  <w:num w:numId="14" w16cid:durableId="1720132689">
    <w:abstractNumId w:val="1"/>
  </w:num>
  <w:num w:numId="15" w16cid:durableId="532377635">
    <w:abstractNumId w:val="14"/>
  </w:num>
  <w:num w:numId="16" w16cid:durableId="947086812">
    <w:abstractNumId w:val="18"/>
  </w:num>
  <w:num w:numId="17" w16cid:durableId="147789909">
    <w:abstractNumId w:val="16"/>
  </w:num>
  <w:num w:numId="18" w16cid:durableId="1984508713">
    <w:abstractNumId w:val="17"/>
  </w:num>
  <w:num w:numId="19" w16cid:durableId="20018626">
    <w:abstractNumId w:val="17"/>
  </w:num>
  <w:num w:numId="20" w16cid:durableId="915629399">
    <w:abstractNumId w:val="13"/>
  </w:num>
  <w:num w:numId="21" w16cid:durableId="744229903">
    <w:abstractNumId w:val="0"/>
  </w:num>
  <w:num w:numId="22" w16cid:durableId="633367050">
    <w:abstractNumId w:val="6"/>
  </w:num>
  <w:num w:numId="23" w16cid:durableId="1295017093">
    <w:abstractNumId w:val="22"/>
  </w:num>
  <w:num w:numId="24" w16cid:durableId="1549821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B3"/>
    <w:rsid w:val="00000574"/>
    <w:rsid w:val="0000063A"/>
    <w:rsid w:val="00001518"/>
    <w:rsid w:val="00001FC2"/>
    <w:rsid w:val="00003A9B"/>
    <w:rsid w:val="00003B99"/>
    <w:rsid w:val="000043A7"/>
    <w:rsid w:val="000046EC"/>
    <w:rsid w:val="000061DF"/>
    <w:rsid w:val="00006DE9"/>
    <w:rsid w:val="00006E4F"/>
    <w:rsid w:val="00007E4A"/>
    <w:rsid w:val="00010439"/>
    <w:rsid w:val="00010522"/>
    <w:rsid w:val="000108EF"/>
    <w:rsid w:val="000112D2"/>
    <w:rsid w:val="000119FB"/>
    <w:rsid w:val="00012BEB"/>
    <w:rsid w:val="00014DC3"/>
    <w:rsid w:val="00014F51"/>
    <w:rsid w:val="0001614F"/>
    <w:rsid w:val="00016FD2"/>
    <w:rsid w:val="0002012A"/>
    <w:rsid w:val="00021B49"/>
    <w:rsid w:val="000228FF"/>
    <w:rsid w:val="00024B9D"/>
    <w:rsid w:val="0002500A"/>
    <w:rsid w:val="00025016"/>
    <w:rsid w:val="000254A0"/>
    <w:rsid w:val="0002607D"/>
    <w:rsid w:val="00026C5A"/>
    <w:rsid w:val="00027944"/>
    <w:rsid w:val="00030B8A"/>
    <w:rsid w:val="00030B8E"/>
    <w:rsid w:val="00032B29"/>
    <w:rsid w:val="00033992"/>
    <w:rsid w:val="00033EBB"/>
    <w:rsid w:val="00033FB3"/>
    <w:rsid w:val="0003458F"/>
    <w:rsid w:val="000345D3"/>
    <w:rsid w:val="00035771"/>
    <w:rsid w:val="00035CF8"/>
    <w:rsid w:val="000402BE"/>
    <w:rsid w:val="000412A2"/>
    <w:rsid w:val="00042BF5"/>
    <w:rsid w:val="000436D4"/>
    <w:rsid w:val="00044380"/>
    <w:rsid w:val="00044A36"/>
    <w:rsid w:val="00044CC7"/>
    <w:rsid w:val="000459F7"/>
    <w:rsid w:val="00047108"/>
    <w:rsid w:val="00047853"/>
    <w:rsid w:val="000478E9"/>
    <w:rsid w:val="0005053E"/>
    <w:rsid w:val="00050678"/>
    <w:rsid w:val="00050F1C"/>
    <w:rsid w:val="000553F3"/>
    <w:rsid w:val="00056019"/>
    <w:rsid w:val="00057A8A"/>
    <w:rsid w:val="00057C0E"/>
    <w:rsid w:val="00060090"/>
    <w:rsid w:val="00060150"/>
    <w:rsid w:val="00060618"/>
    <w:rsid w:val="00060BE4"/>
    <w:rsid w:val="00061D91"/>
    <w:rsid w:val="00063057"/>
    <w:rsid w:val="00063210"/>
    <w:rsid w:val="00064FDC"/>
    <w:rsid w:val="00065C37"/>
    <w:rsid w:val="00066058"/>
    <w:rsid w:val="00066A7B"/>
    <w:rsid w:val="00066AF9"/>
    <w:rsid w:val="00067B9B"/>
    <w:rsid w:val="00070CEC"/>
    <w:rsid w:val="00070E8D"/>
    <w:rsid w:val="000740A0"/>
    <w:rsid w:val="00074721"/>
    <w:rsid w:val="0007621B"/>
    <w:rsid w:val="00077500"/>
    <w:rsid w:val="0008010D"/>
    <w:rsid w:val="000816B3"/>
    <w:rsid w:val="0008263E"/>
    <w:rsid w:val="000832EE"/>
    <w:rsid w:val="0008436A"/>
    <w:rsid w:val="00084C4C"/>
    <w:rsid w:val="000853A3"/>
    <w:rsid w:val="00085968"/>
    <w:rsid w:val="00085E53"/>
    <w:rsid w:val="00086814"/>
    <w:rsid w:val="0009093E"/>
    <w:rsid w:val="0009232D"/>
    <w:rsid w:val="00092394"/>
    <w:rsid w:val="00092433"/>
    <w:rsid w:val="0009255D"/>
    <w:rsid w:val="000938B7"/>
    <w:rsid w:val="00093CD4"/>
    <w:rsid w:val="0009585B"/>
    <w:rsid w:val="00095D31"/>
    <w:rsid w:val="00096DA6"/>
    <w:rsid w:val="000979B3"/>
    <w:rsid w:val="000A1720"/>
    <w:rsid w:val="000A1888"/>
    <w:rsid w:val="000A18C7"/>
    <w:rsid w:val="000A19D8"/>
    <w:rsid w:val="000A2F24"/>
    <w:rsid w:val="000A32A0"/>
    <w:rsid w:val="000A4A2C"/>
    <w:rsid w:val="000A4B18"/>
    <w:rsid w:val="000A4E9F"/>
    <w:rsid w:val="000A5343"/>
    <w:rsid w:val="000A5FF9"/>
    <w:rsid w:val="000A659B"/>
    <w:rsid w:val="000A6FB4"/>
    <w:rsid w:val="000A728B"/>
    <w:rsid w:val="000A7AAC"/>
    <w:rsid w:val="000B0AF8"/>
    <w:rsid w:val="000B12D2"/>
    <w:rsid w:val="000B1435"/>
    <w:rsid w:val="000B224A"/>
    <w:rsid w:val="000B5359"/>
    <w:rsid w:val="000B5B03"/>
    <w:rsid w:val="000C046C"/>
    <w:rsid w:val="000C0A6F"/>
    <w:rsid w:val="000C0C46"/>
    <w:rsid w:val="000C184F"/>
    <w:rsid w:val="000C199E"/>
    <w:rsid w:val="000C354A"/>
    <w:rsid w:val="000C405B"/>
    <w:rsid w:val="000C4132"/>
    <w:rsid w:val="000C48D6"/>
    <w:rsid w:val="000C4FF2"/>
    <w:rsid w:val="000C501C"/>
    <w:rsid w:val="000C6B04"/>
    <w:rsid w:val="000C7713"/>
    <w:rsid w:val="000D1B59"/>
    <w:rsid w:val="000D1E02"/>
    <w:rsid w:val="000D3136"/>
    <w:rsid w:val="000D3E96"/>
    <w:rsid w:val="000D7566"/>
    <w:rsid w:val="000E1A50"/>
    <w:rsid w:val="000E297B"/>
    <w:rsid w:val="000E2CDA"/>
    <w:rsid w:val="000E3DF5"/>
    <w:rsid w:val="000E467A"/>
    <w:rsid w:val="000E4D53"/>
    <w:rsid w:val="000E67A8"/>
    <w:rsid w:val="000E6A2B"/>
    <w:rsid w:val="000F2229"/>
    <w:rsid w:val="000F277F"/>
    <w:rsid w:val="000F2864"/>
    <w:rsid w:val="000F5615"/>
    <w:rsid w:val="000F56D6"/>
    <w:rsid w:val="000F67B0"/>
    <w:rsid w:val="000F6C46"/>
    <w:rsid w:val="000F6DBF"/>
    <w:rsid w:val="000F797E"/>
    <w:rsid w:val="00100440"/>
    <w:rsid w:val="00101F34"/>
    <w:rsid w:val="00102E36"/>
    <w:rsid w:val="00104A09"/>
    <w:rsid w:val="00105126"/>
    <w:rsid w:val="00105BC3"/>
    <w:rsid w:val="00106074"/>
    <w:rsid w:val="001062D1"/>
    <w:rsid w:val="00106F4F"/>
    <w:rsid w:val="00107D01"/>
    <w:rsid w:val="00107D3F"/>
    <w:rsid w:val="00107FA2"/>
    <w:rsid w:val="001108FF"/>
    <w:rsid w:val="0011132F"/>
    <w:rsid w:val="001115A2"/>
    <w:rsid w:val="0011200C"/>
    <w:rsid w:val="00112956"/>
    <w:rsid w:val="00113240"/>
    <w:rsid w:val="00113B59"/>
    <w:rsid w:val="00114549"/>
    <w:rsid w:val="00117148"/>
    <w:rsid w:val="00117550"/>
    <w:rsid w:val="001201F7"/>
    <w:rsid w:val="0012274B"/>
    <w:rsid w:val="00123550"/>
    <w:rsid w:val="001238CD"/>
    <w:rsid w:val="00123943"/>
    <w:rsid w:val="00123968"/>
    <w:rsid w:val="00123AF1"/>
    <w:rsid w:val="00124362"/>
    <w:rsid w:val="00125DE8"/>
    <w:rsid w:val="00126588"/>
    <w:rsid w:val="001302AF"/>
    <w:rsid w:val="00130EDD"/>
    <w:rsid w:val="00131A2C"/>
    <w:rsid w:val="00131C47"/>
    <w:rsid w:val="0013420A"/>
    <w:rsid w:val="00134C3D"/>
    <w:rsid w:val="001356C8"/>
    <w:rsid w:val="001356E9"/>
    <w:rsid w:val="00135DC8"/>
    <w:rsid w:val="00137D76"/>
    <w:rsid w:val="00137EB3"/>
    <w:rsid w:val="001404C5"/>
    <w:rsid w:val="00140CF2"/>
    <w:rsid w:val="00141205"/>
    <w:rsid w:val="00142A44"/>
    <w:rsid w:val="00143098"/>
    <w:rsid w:val="00143970"/>
    <w:rsid w:val="001442BB"/>
    <w:rsid w:val="00144766"/>
    <w:rsid w:val="00144BA8"/>
    <w:rsid w:val="0014580A"/>
    <w:rsid w:val="001458E9"/>
    <w:rsid w:val="001466D3"/>
    <w:rsid w:val="00146720"/>
    <w:rsid w:val="001474C9"/>
    <w:rsid w:val="00147DFA"/>
    <w:rsid w:val="00151761"/>
    <w:rsid w:val="00153242"/>
    <w:rsid w:val="00153D5B"/>
    <w:rsid w:val="0015450A"/>
    <w:rsid w:val="00154C0D"/>
    <w:rsid w:val="0015509D"/>
    <w:rsid w:val="00155F91"/>
    <w:rsid w:val="00156011"/>
    <w:rsid w:val="001569ED"/>
    <w:rsid w:val="00157634"/>
    <w:rsid w:val="001602D3"/>
    <w:rsid w:val="001607BB"/>
    <w:rsid w:val="001607DA"/>
    <w:rsid w:val="00160849"/>
    <w:rsid w:val="0016122C"/>
    <w:rsid w:val="001612E9"/>
    <w:rsid w:val="00161AA0"/>
    <w:rsid w:val="001621EF"/>
    <w:rsid w:val="00162446"/>
    <w:rsid w:val="00162BFB"/>
    <w:rsid w:val="00164BCE"/>
    <w:rsid w:val="00165269"/>
    <w:rsid w:val="00166AAC"/>
    <w:rsid w:val="0016736F"/>
    <w:rsid w:val="001674AF"/>
    <w:rsid w:val="001711DB"/>
    <w:rsid w:val="001718FF"/>
    <w:rsid w:val="00171B33"/>
    <w:rsid w:val="00172B0F"/>
    <w:rsid w:val="00173606"/>
    <w:rsid w:val="00173717"/>
    <w:rsid w:val="00175307"/>
    <w:rsid w:val="00177112"/>
    <w:rsid w:val="00180614"/>
    <w:rsid w:val="001813D4"/>
    <w:rsid w:val="00181D3D"/>
    <w:rsid w:val="00182ACF"/>
    <w:rsid w:val="0018301B"/>
    <w:rsid w:val="00183664"/>
    <w:rsid w:val="001848F9"/>
    <w:rsid w:val="00184E75"/>
    <w:rsid w:val="001853FD"/>
    <w:rsid w:val="001863E0"/>
    <w:rsid w:val="00186AB8"/>
    <w:rsid w:val="0018710F"/>
    <w:rsid w:val="00187D75"/>
    <w:rsid w:val="00190579"/>
    <w:rsid w:val="00191407"/>
    <w:rsid w:val="00191409"/>
    <w:rsid w:val="001914AC"/>
    <w:rsid w:val="00192811"/>
    <w:rsid w:val="00192C91"/>
    <w:rsid w:val="00192E3E"/>
    <w:rsid w:val="00193D65"/>
    <w:rsid w:val="001956FC"/>
    <w:rsid w:val="00195916"/>
    <w:rsid w:val="00195C18"/>
    <w:rsid w:val="00196C55"/>
    <w:rsid w:val="00196E70"/>
    <w:rsid w:val="001A02C2"/>
    <w:rsid w:val="001A121D"/>
    <w:rsid w:val="001A25A2"/>
    <w:rsid w:val="001A27F7"/>
    <w:rsid w:val="001A3EE9"/>
    <w:rsid w:val="001A4147"/>
    <w:rsid w:val="001A4274"/>
    <w:rsid w:val="001A5D9F"/>
    <w:rsid w:val="001A605C"/>
    <w:rsid w:val="001A656A"/>
    <w:rsid w:val="001A676D"/>
    <w:rsid w:val="001A70BC"/>
    <w:rsid w:val="001B0B1A"/>
    <w:rsid w:val="001B151D"/>
    <w:rsid w:val="001B2136"/>
    <w:rsid w:val="001B2EF1"/>
    <w:rsid w:val="001B4578"/>
    <w:rsid w:val="001B480F"/>
    <w:rsid w:val="001B4A01"/>
    <w:rsid w:val="001B53CA"/>
    <w:rsid w:val="001B5B7A"/>
    <w:rsid w:val="001B5E57"/>
    <w:rsid w:val="001B6076"/>
    <w:rsid w:val="001B73CC"/>
    <w:rsid w:val="001B7AB8"/>
    <w:rsid w:val="001C0F06"/>
    <w:rsid w:val="001C33CB"/>
    <w:rsid w:val="001C3AD1"/>
    <w:rsid w:val="001C4219"/>
    <w:rsid w:val="001C4FB7"/>
    <w:rsid w:val="001C5403"/>
    <w:rsid w:val="001C5E9F"/>
    <w:rsid w:val="001D0BE2"/>
    <w:rsid w:val="001D0C94"/>
    <w:rsid w:val="001D0E67"/>
    <w:rsid w:val="001D18A1"/>
    <w:rsid w:val="001D2083"/>
    <w:rsid w:val="001D2A79"/>
    <w:rsid w:val="001D304A"/>
    <w:rsid w:val="001D3404"/>
    <w:rsid w:val="001D400C"/>
    <w:rsid w:val="001D673E"/>
    <w:rsid w:val="001D69EF"/>
    <w:rsid w:val="001D6ABD"/>
    <w:rsid w:val="001E01CD"/>
    <w:rsid w:val="001E01E3"/>
    <w:rsid w:val="001E1496"/>
    <w:rsid w:val="001E1C4D"/>
    <w:rsid w:val="001E6068"/>
    <w:rsid w:val="001E6CCC"/>
    <w:rsid w:val="001E6FBB"/>
    <w:rsid w:val="001E724F"/>
    <w:rsid w:val="001E7937"/>
    <w:rsid w:val="001E7F7E"/>
    <w:rsid w:val="001F16B4"/>
    <w:rsid w:val="001F1967"/>
    <w:rsid w:val="001F198B"/>
    <w:rsid w:val="001F19DD"/>
    <w:rsid w:val="001F22D0"/>
    <w:rsid w:val="001F3E48"/>
    <w:rsid w:val="001F4609"/>
    <w:rsid w:val="001F4F8C"/>
    <w:rsid w:val="001F4FF1"/>
    <w:rsid w:val="001F54E4"/>
    <w:rsid w:val="001F5AEE"/>
    <w:rsid w:val="001F6107"/>
    <w:rsid w:val="002001F5"/>
    <w:rsid w:val="002007A2"/>
    <w:rsid w:val="00200A46"/>
    <w:rsid w:val="0020225A"/>
    <w:rsid w:val="002040A5"/>
    <w:rsid w:val="00204567"/>
    <w:rsid w:val="00204D17"/>
    <w:rsid w:val="002051FB"/>
    <w:rsid w:val="002058AB"/>
    <w:rsid w:val="002066D4"/>
    <w:rsid w:val="00207E1A"/>
    <w:rsid w:val="002117EA"/>
    <w:rsid w:val="00211C82"/>
    <w:rsid w:val="00212C01"/>
    <w:rsid w:val="00213374"/>
    <w:rsid w:val="00216398"/>
    <w:rsid w:val="00216C73"/>
    <w:rsid w:val="002202FC"/>
    <w:rsid w:val="00220418"/>
    <w:rsid w:val="0022090E"/>
    <w:rsid w:val="002223CC"/>
    <w:rsid w:val="00222539"/>
    <w:rsid w:val="002225EF"/>
    <w:rsid w:val="00223740"/>
    <w:rsid w:val="00223D48"/>
    <w:rsid w:val="0022485A"/>
    <w:rsid w:val="00224B65"/>
    <w:rsid w:val="0022560F"/>
    <w:rsid w:val="00225680"/>
    <w:rsid w:val="002263BA"/>
    <w:rsid w:val="0022646D"/>
    <w:rsid w:val="002269B1"/>
    <w:rsid w:val="0023030F"/>
    <w:rsid w:val="00230591"/>
    <w:rsid w:val="00230728"/>
    <w:rsid w:val="00231A1D"/>
    <w:rsid w:val="00231F14"/>
    <w:rsid w:val="0023262E"/>
    <w:rsid w:val="0023383A"/>
    <w:rsid w:val="00234400"/>
    <w:rsid w:val="00234B70"/>
    <w:rsid w:val="00234BBA"/>
    <w:rsid w:val="0023598F"/>
    <w:rsid w:val="00235CAB"/>
    <w:rsid w:val="0023651B"/>
    <w:rsid w:val="00237C1E"/>
    <w:rsid w:val="00237F73"/>
    <w:rsid w:val="00241CB5"/>
    <w:rsid w:val="0024283E"/>
    <w:rsid w:val="002428DF"/>
    <w:rsid w:val="00243331"/>
    <w:rsid w:val="00243612"/>
    <w:rsid w:val="00243A76"/>
    <w:rsid w:val="00243CC0"/>
    <w:rsid w:val="00244B47"/>
    <w:rsid w:val="00244B4B"/>
    <w:rsid w:val="00245090"/>
    <w:rsid w:val="00245B07"/>
    <w:rsid w:val="002462ED"/>
    <w:rsid w:val="00246865"/>
    <w:rsid w:val="00246A16"/>
    <w:rsid w:val="00246D36"/>
    <w:rsid w:val="002523D1"/>
    <w:rsid w:val="0025302F"/>
    <w:rsid w:val="002540A6"/>
    <w:rsid w:val="0025453B"/>
    <w:rsid w:val="002548D9"/>
    <w:rsid w:val="00254D1E"/>
    <w:rsid w:val="00254E85"/>
    <w:rsid w:val="0025501E"/>
    <w:rsid w:val="00255A72"/>
    <w:rsid w:val="0025694B"/>
    <w:rsid w:val="00256B8F"/>
    <w:rsid w:val="00256E85"/>
    <w:rsid w:val="00260627"/>
    <w:rsid w:val="00261B91"/>
    <w:rsid w:val="00262A6B"/>
    <w:rsid w:val="00262AEB"/>
    <w:rsid w:val="00263573"/>
    <w:rsid w:val="00263A60"/>
    <w:rsid w:val="00263D38"/>
    <w:rsid w:val="0026491A"/>
    <w:rsid w:val="0026638E"/>
    <w:rsid w:val="0026741A"/>
    <w:rsid w:val="00267FD8"/>
    <w:rsid w:val="00270503"/>
    <w:rsid w:val="00272058"/>
    <w:rsid w:val="00272CBA"/>
    <w:rsid w:val="002737AE"/>
    <w:rsid w:val="00273E68"/>
    <w:rsid w:val="00274E54"/>
    <w:rsid w:val="00276015"/>
    <w:rsid w:val="002764E0"/>
    <w:rsid w:val="00276B71"/>
    <w:rsid w:val="00282BC0"/>
    <w:rsid w:val="00282D7E"/>
    <w:rsid w:val="00284247"/>
    <w:rsid w:val="00284D52"/>
    <w:rsid w:val="00285695"/>
    <w:rsid w:val="002856B4"/>
    <w:rsid w:val="002860C3"/>
    <w:rsid w:val="002869BC"/>
    <w:rsid w:val="00286A91"/>
    <w:rsid w:val="00287C4A"/>
    <w:rsid w:val="00290415"/>
    <w:rsid w:val="002911F2"/>
    <w:rsid w:val="0029142D"/>
    <w:rsid w:val="002921B3"/>
    <w:rsid w:val="002924F6"/>
    <w:rsid w:val="00293302"/>
    <w:rsid w:val="00293BF9"/>
    <w:rsid w:val="00293CE1"/>
    <w:rsid w:val="00295529"/>
    <w:rsid w:val="00296C04"/>
    <w:rsid w:val="0029714D"/>
    <w:rsid w:val="002972D2"/>
    <w:rsid w:val="002A0C34"/>
    <w:rsid w:val="002A130E"/>
    <w:rsid w:val="002A178E"/>
    <w:rsid w:val="002A2C12"/>
    <w:rsid w:val="002A3E8A"/>
    <w:rsid w:val="002A4082"/>
    <w:rsid w:val="002A44DB"/>
    <w:rsid w:val="002A7825"/>
    <w:rsid w:val="002A7899"/>
    <w:rsid w:val="002A797E"/>
    <w:rsid w:val="002B089A"/>
    <w:rsid w:val="002B13C6"/>
    <w:rsid w:val="002B1663"/>
    <w:rsid w:val="002B23F5"/>
    <w:rsid w:val="002B2557"/>
    <w:rsid w:val="002B2DD6"/>
    <w:rsid w:val="002B3628"/>
    <w:rsid w:val="002B4693"/>
    <w:rsid w:val="002B5B9E"/>
    <w:rsid w:val="002B64AA"/>
    <w:rsid w:val="002B69AC"/>
    <w:rsid w:val="002C125A"/>
    <w:rsid w:val="002C151E"/>
    <w:rsid w:val="002C2331"/>
    <w:rsid w:val="002C264C"/>
    <w:rsid w:val="002C4B97"/>
    <w:rsid w:val="002C55B5"/>
    <w:rsid w:val="002C6759"/>
    <w:rsid w:val="002C6D6B"/>
    <w:rsid w:val="002C7454"/>
    <w:rsid w:val="002C7CFD"/>
    <w:rsid w:val="002D07FA"/>
    <w:rsid w:val="002D18ED"/>
    <w:rsid w:val="002D2FCD"/>
    <w:rsid w:val="002D3488"/>
    <w:rsid w:val="002D563E"/>
    <w:rsid w:val="002D56CD"/>
    <w:rsid w:val="002D6C56"/>
    <w:rsid w:val="002D7015"/>
    <w:rsid w:val="002D7291"/>
    <w:rsid w:val="002D777C"/>
    <w:rsid w:val="002D77C4"/>
    <w:rsid w:val="002E0276"/>
    <w:rsid w:val="002E0817"/>
    <w:rsid w:val="002E0ED9"/>
    <w:rsid w:val="002E20AC"/>
    <w:rsid w:val="002E29F8"/>
    <w:rsid w:val="002E3530"/>
    <w:rsid w:val="002E490E"/>
    <w:rsid w:val="002E7CA6"/>
    <w:rsid w:val="002E7F01"/>
    <w:rsid w:val="002F0900"/>
    <w:rsid w:val="002F2A91"/>
    <w:rsid w:val="002F5DC9"/>
    <w:rsid w:val="002F683B"/>
    <w:rsid w:val="002F762C"/>
    <w:rsid w:val="002F7AE7"/>
    <w:rsid w:val="002F7D8C"/>
    <w:rsid w:val="002F7DBB"/>
    <w:rsid w:val="00300AF6"/>
    <w:rsid w:val="00300BC1"/>
    <w:rsid w:val="00300DB7"/>
    <w:rsid w:val="00300DF1"/>
    <w:rsid w:val="0030183C"/>
    <w:rsid w:val="00303A0E"/>
    <w:rsid w:val="00304243"/>
    <w:rsid w:val="003045A2"/>
    <w:rsid w:val="003046C1"/>
    <w:rsid w:val="003055BE"/>
    <w:rsid w:val="003078BB"/>
    <w:rsid w:val="003078C2"/>
    <w:rsid w:val="00307A84"/>
    <w:rsid w:val="003104C9"/>
    <w:rsid w:val="00313045"/>
    <w:rsid w:val="00313370"/>
    <w:rsid w:val="0031348F"/>
    <w:rsid w:val="00314CEB"/>
    <w:rsid w:val="00314FDF"/>
    <w:rsid w:val="003154A2"/>
    <w:rsid w:val="00316580"/>
    <w:rsid w:val="0031664C"/>
    <w:rsid w:val="003206E1"/>
    <w:rsid w:val="00321E17"/>
    <w:rsid w:val="00321F47"/>
    <w:rsid w:val="00322358"/>
    <w:rsid w:val="00322813"/>
    <w:rsid w:val="0032345C"/>
    <w:rsid w:val="00323677"/>
    <w:rsid w:val="0032602D"/>
    <w:rsid w:val="00326B38"/>
    <w:rsid w:val="00327D09"/>
    <w:rsid w:val="0033048C"/>
    <w:rsid w:val="00330A9F"/>
    <w:rsid w:val="00330C8E"/>
    <w:rsid w:val="003328F8"/>
    <w:rsid w:val="003330E6"/>
    <w:rsid w:val="00333387"/>
    <w:rsid w:val="00334520"/>
    <w:rsid w:val="00334E1E"/>
    <w:rsid w:val="00337A13"/>
    <w:rsid w:val="003403BA"/>
    <w:rsid w:val="00340507"/>
    <w:rsid w:val="00340B44"/>
    <w:rsid w:val="00341F85"/>
    <w:rsid w:val="00342F60"/>
    <w:rsid w:val="00343317"/>
    <w:rsid w:val="0034337B"/>
    <w:rsid w:val="0034363B"/>
    <w:rsid w:val="00343B2C"/>
    <w:rsid w:val="00344663"/>
    <w:rsid w:val="00344D5F"/>
    <w:rsid w:val="0034523C"/>
    <w:rsid w:val="003469C3"/>
    <w:rsid w:val="00346AFA"/>
    <w:rsid w:val="00346BAA"/>
    <w:rsid w:val="00347C8F"/>
    <w:rsid w:val="00347E6B"/>
    <w:rsid w:val="003509DC"/>
    <w:rsid w:val="00351920"/>
    <w:rsid w:val="00356C47"/>
    <w:rsid w:val="003574BC"/>
    <w:rsid w:val="0035754D"/>
    <w:rsid w:val="00361048"/>
    <w:rsid w:val="003625B4"/>
    <w:rsid w:val="003629B8"/>
    <w:rsid w:val="00364314"/>
    <w:rsid w:val="0036435C"/>
    <w:rsid w:val="00364591"/>
    <w:rsid w:val="00366751"/>
    <w:rsid w:val="00366D1D"/>
    <w:rsid w:val="00367DA4"/>
    <w:rsid w:val="003721C0"/>
    <w:rsid w:val="00375ED3"/>
    <w:rsid w:val="00377705"/>
    <w:rsid w:val="00377D03"/>
    <w:rsid w:val="00380188"/>
    <w:rsid w:val="0038106F"/>
    <w:rsid w:val="00381B70"/>
    <w:rsid w:val="00381CEE"/>
    <w:rsid w:val="00382529"/>
    <w:rsid w:val="00383B24"/>
    <w:rsid w:val="0038498B"/>
    <w:rsid w:val="00385C4D"/>
    <w:rsid w:val="00390A9F"/>
    <w:rsid w:val="00391DDE"/>
    <w:rsid w:val="003943A3"/>
    <w:rsid w:val="0039445C"/>
    <w:rsid w:val="003952B1"/>
    <w:rsid w:val="00397603"/>
    <w:rsid w:val="003A0143"/>
    <w:rsid w:val="003A070C"/>
    <w:rsid w:val="003A1BE6"/>
    <w:rsid w:val="003A2C7A"/>
    <w:rsid w:val="003A3974"/>
    <w:rsid w:val="003A5D00"/>
    <w:rsid w:val="003A6744"/>
    <w:rsid w:val="003A7418"/>
    <w:rsid w:val="003A7BDC"/>
    <w:rsid w:val="003A7E69"/>
    <w:rsid w:val="003B0DAE"/>
    <w:rsid w:val="003B1A8E"/>
    <w:rsid w:val="003B1D87"/>
    <w:rsid w:val="003B4E5F"/>
    <w:rsid w:val="003B4EF6"/>
    <w:rsid w:val="003B514B"/>
    <w:rsid w:val="003B5498"/>
    <w:rsid w:val="003B5CD1"/>
    <w:rsid w:val="003B5DD6"/>
    <w:rsid w:val="003B6D68"/>
    <w:rsid w:val="003B78C3"/>
    <w:rsid w:val="003B7DC8"/>
    <w:rsid w:val="003B7FEA"/>
    <w:rsid w:val="003C0DF2"/>
    <w:rsid w:val="003C107F"/>
    <w:rsid w:val="003C213A"/>
    <w:rsid w:val="003C36AC"/>
    <w:rsid w:val="003C4619"/>
    <w:rsid w:val="003C53B9"/>
    <w:rsid w:val="003C7A5B"/>
    <w:rsid w:val="003D1818"/>
    <w:rsid w:val="003D279E"/>
    <w:rsid w:val="003D2FAA"/>
    <w:rsid w:val="003D37F8"/>
    <w:rsid w:val="003D394B"/>
    <w:rsid w:val="003D3EDE"/>
    <w:rsid w:val="003D7531"/>
    <w:rsid w:val="003E199D"/>
    <w:rsid w:val="003E2578"/>
    <w:rsid w:val="003E391D"/>
    <w:rsid w:val="003E4203"/>
    <w:rsid w:val="003E4E71"/>
    <w:rsid w:val="003E52B9"/>
    <w:rsid w:val="003E5DF8"/>
    <w:rsid w:val="003F1105"/>
    <w:rsid w:val="003F1B58"/>
    <w:rsid w:val="003F358E"/>
    <w:rsid w:val="003F38A0"/>
    <w:rsid w:val="003F68EB"/>
    <w:rsid w:val="003F74BA"/>
    <w:rsid w:val="00402B5D"/>
    <w:rsid w:val="00403016"/>
    <w:rsid w:val="004035B2"/>
    <w:rsid w:val="00404E4B"/>
    <w:rsid w:val="004056C4"/>
    <w:rsid w:val="00405B22"/>
    <w:rsid w:val="00405CA9"/>
    <w:rsid w:val="004060CE"/>
    <w:rsid w:val="004103EE"/>
    <w:rsid w:val="00411445"/>
    <w:rsid w:val="00412552"/>
    <w:rsid w:val="00412AE8"/>
    <w:rsid w:val="00412C50"/>
    <w:rsid w:val="00412F41"/>
    <w:rsid w:val="004130C4"/>
    <w:rsid w:val="00414556"/>
    <w:rsid w:val="00414D3F"/>
    <w:rsid w:val="00416335"/>
    <w:rsid w:val="00416A01"/>
    <w:rsid w:val="00416C99"/>
    <w:rsid w:val="00416CEF"/>
    <w:rsid w:val="00417337"/>
    <w:rsid w:val="00420212"/>
    <w:rsid w:val="004207F6"/>
    <w:rsid w:val="00420DDE"/>
    <w:rsid w:val="00421D45"/>
    <w:rsid w:val="0042505F"/>
    <w:rsid w:val="00426086"/>
    <w:rsid w:val="00426F71"/>
    <w:rsid w:val="00430EED"/>
    <w:rsid w:val="004345DD"/>
    <w:rsid w:val="00434976"/>
    <w:rsid w:val="00436B7A"/>
    <w:rsid w:val="004371BD"/>
    <w:rsid w:val="004374D8"/>
    <w:rsid w:val="004454E0"/>
    <w:rsid w:val="0044624B"/>
    <w:rsid w:val="0044673C"/>
    <w:rsid w:val="00447185"/>
    <w:rsid w:val="00450074"/>
    <w:rsid w:val="00454B76"/>
    <w:rsid w:val="004555E0"/>
    <w:rsid w:val="00455719"/>
    <w:rsid w:val="0045647A"/>
    <w:rsid w:val="0045727E"/>
    <w:rsid w:val="0046090E"/>
    <w:rsid w:val="00461986"/>
    <w:rsid w:val="004625B9"/>
    <w:rsid w:val="00462D3B"/>
    <w:rsid w:val="00463E34"/>
    <w:rsid w:val="00464941"/>
    <w:rsid w:val="0046631F"/>
    <w:rsid w:val="0046696F"/>
    <w:rsid w:val="00467B6B"/>
    <w:rsid w:val="00470122"/>
    <w:rsid w:val="0047037E"/>
    <w:rsid w:val="0047040D"/>
    <w:rsid w:val="00470C0A"/>
    <w:rsid w:val="0047325F"/>
    <w:rsid w:val="004739C9"/>
    <w:rsid w:val="00474E90"/>
    <w:rsid w:val="004756D5"/>
    <w:rsid w:val="0047580D"/>
    <w:rsid w:val="00476472"/>
    <w:rsid w:val="00477134"/>
    <w:rsid w:val="00477CD6"/>
    <w:rsid w:val="004808F9"/>
    <w:rsid w:val="00480BA9"/>
    <w:rsid w:val="00481572"/>
    <w:rsid w:val="004820E9"/>
    <w:rsid w:val="00482D30"/>
    <w:rsid w:val="0048361F"/>
    <w:rsid w:val="0048678C"/>
    <w:rsid w:val="0048686A"/>
    <w:rsid w:val="00487CD8"/>
    <w:rsid w:val="00490FED"/>
    <w:rsid w:val="004928DC"/>
    <w:rsid w:val="00493D71"/>
    <w:rsid w:val="00495C6A"/>
    <w:rsid w:val="004961EA"/>
    <w:rsid w:val="004968BB"/>
    <w:rsid w:val="004968FB"/>
    <w:rsid w:val="00497753"/>
    <w:rsid w:val="004A2344"/>
    <w:rsid w:val="004A5EF6"/>
    <w:rsid w:val="004A7E70"/>
    <w:rsid w:val="004B11F1"/>
    <w:rsid w:val="004B258E"/>
    <w:rsid w:val="004B28DB"/>
    <w:rsid w:val="004B2D71"/>
    <w:rsid w:val="004B3895"/>
    <w:rsid w:val="004B3ABE"/>
    <w:rsid w:val="004B3B58"/>
    <w:rsid w:val="004B4A7E"/>
    <w:rsid w:val="004B4B98"/>
    <w:rsid w:val="004B4BC0"/>
    <w:rsid w:val="004B514C"/>
    <w:rsid w:val="004B51DA"/>
    <w:rsid w:val="004B550A"/>
    <w:rsid w:val="004B5741"/>
    <w:rsid w:val="004B5D91"/>
    <w:rsid w:val="004B6778"/>
    <w:rsid w:val="004C10EF"/>
    <w:rsid w:val="004C1E23"/>
    <w:rsid w:val="004C27E4"/>
    <w:rsid w:val="004C4D6A"/>
    <w:rsid w:val="004C6890"/>
    <w:rsid w:val="004C7EBF"/>
    <w:rsid w:val="004D009F"/>
    <w:rsid w:val="004D0155"/>
    <w:rsid w:val="004D1714"/>
    <w:rsid w:val="004D24E5"/>
    <w:rsid w:val="004D3040"/>
    <w:rsid w:val="004D31C0"/>
    <w:rsid w:val="004D3F50"/>
    <w:rsid w:val="004D44D1"/>
    <w:rsid w:val="004D49C4"/>
    <w:rsid w:val="004D4D20"/>
    <w:rsid w:val="004D5E7F"/>
    <w:rsid w:val="004D6EC4"/>
    <w:rsid w:val="004D70A4"/>
    <w:rsid w:val="004D7264"/>
    <w:rsid w:val="004D7BFE"/>
    <w:rsid w:val="004D7E8C"/>
    <w:rsid w:val="004E09C7"/>
    <w:rsid w:val="004E0E24"/>
    <w:rsid w:val="004E182C"/>
    <w:rsid w:val="004E2089"/>
    <w:rsid w:val="004E22E7"/>
    <w:rsid w:val="004E48B0"/>
    <w:rsid w:val="004E4962"/>
    <w:rsid w:val="004E4E8E"/>
    <w:rsid w:val="004E58A3"/>
    <w:rsid w:val="004E7078"/>
    <w:rsid w:val="004E7AE0"/>
    <w:rsid w:val="004F0672"/>
    <w:rsid w:val="004F0C1A"/>
    <w:rsid w:val="004F4F32"/>
    <w:rsid w:val="004F56A7"/>
    <w:rsid w:val="004F5A73"/>
    <w:rsid w:val="004F5F7C"/>
    <w:rsid w:val="004F5F9B"/>
    <w:rsid w:val="004F68DA"/>
    <w:rsid w:val="004F6F99"/>
    <w:rsid w:val="004F7615"/>
    <w:rsid w:val="00501138"/>
    <w:rsid w:val="00501292"/>
    <w:rsid w:val="00502CA1"/>
    <w:rsid w:val="0050357A"/>
    <w:rsid w:val="00504152"/>
    <w:rsid w:val="00504254"/>
    <w:rsid w:val="00504AB4"/>
    <w:rsid w:val="0050649C"/>
    <w:rsid w:val="005069CB"/>
    <w:rsid w:val="00507051"/>
    <w:rsid w:val="005077F0"/>
    <w:rsid w:val="00507849"/>
    <w:rsid w:val="00511EE3"/>
    <w:rsid w:val="0051209B"/>
    <w:rsid w:val="00512FA0"/>
    <w:rsid w:val="00513838"/>
    <w:rsid w:val="005154EC"/>
    <w:rsid w:val="0051563E"/>
    <w:rsid w:val="0051571A"/>
    <w:rsid w:val="00515DF1"/>
    <w:rsid w:val="005162F3"/>
    <w:rsid w:val="00517661"/>
    <w:rsid w:val="00520146"/>
    <w:rsid w:val="00521470"/>
    <w:rsid w:val="005218DC"/>
    <w:rsid w:val="0052350D"/>
    <w:rsid w:val="00524EBD"/>
    <w:rsid w:val="00526C07"/>
    <w:rsid w:val="00530528"/>
    <w:rsid w:val="00531ED2"/>
    <w:rsid w:val="00532988"/>
    <w:rsid w:val="00532CE2"/>
    <w:rsid w:val="00532CEB"/>
    <w:rsid w:val="0053387C"/>
    <w:rsid w:val="00533CFE"/>
    <w:rsid w:val="00533DF1"/>
    <w:rsid w:val="0053471B"/>
    <w:rsid w:val="00535061"/>
    <w:rsid w:val="00535471"/>
    <w:rsid w:val="00535DFC"/>
    <w:rsid w:val="0053678A"/>
    <w:rsid w:val="00537C61"/>
    <w:rsid w:val="00542383"/>
    <w:rsid w:val="00542A99"/>
    <w:rsid w:val="0054329A"/>
    <w:rsid w:val="005435EF"/>
    <w:rsid w:val="00543B86"/>
    <w:rsid w:val="00543D85"/>
    <w:rsid w:val="00543E82"/>
    <w:rsid w:val="00544C77"/>
    <w:rsid w:val="00545B24"/>
    <w:rsid w:val="005463E5"/>
    <w:rsid w:val="00550992"/>
    <w:rsid w:val="00552E98"/>
    <w:rsid w:val="00553891"/>
    <w:rsid w:val="00554D85"/>
    <w:rsid w:val="00555AB7"/>
    <w:rsid w:val="00556BB6"/>
    <w:rsid w:val="005574FB"/>
    <w:rsid w:val="00560861"/>
    <w:rsid w:val="005615F0"/>
    <w:rsid w:val="005619F6"/>
    <w:rsid w:val="00561D25"/>
    <w:rsid w:val="00562AD4"/>
    <w:rsid w:val="00562FAF"/>
    <w:rsid w:val="00564172"/>
    <w:rsid w:val="00564899"/>
    <w:rsid w:val="005648C7"/>
    <w:rsid w:val="00564A8F"/>
    <w:rsid w:val="00564B7E"/>
    <w:rsid w:val="00570216"/>
    <w:rsid w:val="00570D68"/>
    <w:rsid w:val="0057200F"/>
    <w:rsid w:val="005739CF"/>
    <w:rsid w:val="00573E2C"/>
    <w:rsid w:val="00575DD3"/>
    <w:rsid w:val="005776D5"/>
    <w:rsid w:val="0057779C"/>
    <w:rsid w:val="00577D81"/>
    <w:rsid w:val="00580C2A"/>
    <w:rsid w:val="00581647"/>
    <w:rsid w:val="005825A6"/>
    <w:rsid w:val="005825EA"/>
    <w:rsid w:val="0058344A"/>
    <w:rsid w:val="00584CF0"/>
    <w:rsid w:val="005854E6"/>
    <w:rsid w:val="0058599B"/>
    <w:rsid w:val="005861A9"/>
    <w:rsid w:val="005905A7"/>
    <w:rsid w:val="00591786"/>
    <w:rsid w:val="00591FAC"/>
    <w:rsid w:val="005923F5"/>
    <w:rsid w:val="0059253B"/>
    <w:rsid w:val="00594D4A"/>
    <w:rsid w:val="00595C11"/>
    <w:rsid w:val="00596181"/>
    <w:rsid w:val="00597132"/>
    <w:rsid w:val="005971C4"/>
    <w:rsid w:val="005A03AA"/>
    <w:rsid w:val="005A1955"/>
    <w:rsid w:val="005A1B9F"/>
    <w:rsid w:val="005A2201"/>
    <w:rsid w:val="005A386B"/>
    <w:rsid w:val="005A3BB9"/>
    <w:rsid w:val="005A51B8"/>
    <w:rsid w:val="005A60B8"/>
    <w:rsid w:val="005A6306"/>
    <w:rsid w:val="005A6547"/>
    <w:rsid w:val="005A7045"/>
    <w:rsid w:val="005A79A3"/>
    <w:rsid w:val="005A7EC2"/>
    <w:rsid w:val="005B033E"/>
    <w:rsid w:val="005B1376"/>
    <w:rsid w:val="005B1613"/>
    <w:rsid w:val="005B360C"/>
    <w:rsid w:val="005B3B5C"/>
    <w:rsid w:val="005B4A92"/>
    <w:rsid w:val="005B5432"/>
    <w:rsid w:val="005B681D"/>
    <w:rsid w:val="005B6E54"/>
    <w:rsid w:val="005B762D"/>
    <w:rsid w:val="005B7A4F"/>
    <w:rsid w:val="005C051F"/>
    <w:rsid w:val="005C131E"/>
    <w:rsid w:val="005C2019"/>
    <w:rsid w:val="005C2634"/>
    <w:rsid w:val="005C4DD9"/>
    <w:rsid w:val="005C50E7"/>
    <w:rsid w:val="005C5446"/>
    <w:rsid w:val="005C665D"/>
    <w:rsid w:val="005C6AC0"/>
    <w:rsid w:val="005C762E"/>
    <w:rsid w:val="005C7AB7"/>
    <w:rsid w:val="005C7C44"/>
    <w:rsid w:val="005C7CA3"/>
    <w:rsid w:val="005C7E50"/>
    <w:rsid w:val="005D098C"/>
    <w:rsid w:val="005D0B13"/>
    <w:rsid w:val="005D0EA6"/>
    <w:rsid w:val="005D1238"/>
    <w:rsid w:val="005D29E4"/>
    <w:rsid w:val="005D426A"/>
    <w:rsid w:val="005D5BC1"/>
    <w:rsid w:val="005D5EF4"/>
    <w:rsid w:val="005D6145"/>
    <w:rsid w:val="005D61B8"/>
    <w:rsid w:val="005D700B"/>
    <w:rsid w:val="005D712B"/>
    <w:rsid w:val="005E095B"/>
    <w:rsid w:val="005E15A7"/>
    <w:rsid w:val="005E2A4A"/>
    <w:rsid w:val="005E30CF"/>
    <w:rsid w:val="005E31F3"/>
    <w:rsid w:val="005E5BB6"/>
    <w:rsid w:val="005F0905"/>
    <w:rsid w:val="005F1B26"/>
    <w:rsid w:val="005F41DA"/>
    <w:rsid w:val="005F47E8"/>
    <w:rsid w:val="005F4D76"/>
    <w:rsid w:val="005F521A"/>
    <w:rsid w:val="006008E3"/>
    <w:rsid w:val="00600E13"/>
    <w:rsid w:val="006032BF"/>
    <w:rsid w:val="00603466"/>
    <w:rsid w:val="00603ABB"/>
    <w:rsid w:val="00603C94"/>
    <w:rsid w:val="00603FE6"/>
    <w:rsid w:val="0060453A"/>
    <w:rsid w:val="00604A34"/>
    <w:rsid w:val="00605143"/>
    <w:rsid w:val="006054E3"/>
    <w:rsid w:val="0060650A"/>
    <w:rsid w:val="0060662A"/>
    <w:rsid w:val="00606A92"/>
    <w:rsid w:val="00607AD1"/>
    <w:rsid w:val="00607AD9"/>
    <w:rsid w:val="00607C42"/>
    <w:rsid w:val="006100E7"/>
    <w:rsid w:val="00610C7F"/>
    <w:rsid w:val="00611951"/>
    <w:rsid w:val="00611D94"/>
    <w:rsid w:val="00612789"/>
    <w:rsid w:val="006130A8"/>
    <w:rsid w:val="006135F8"/>
    <w:rsid w:val="00613E3C"/>
    <w:rsid w:val="00613F2F"/>
    <w:rsid w:val="00614BDA"/>
    <w:rsid w:val="00615C22"/>
    <w:rsid w:val="00615CAD"/>
    <w:rsid w:val="0061683D"/>
    <w:rsid w:val="00616DCB"/>
    <w:rsid w:val="00620163"/>
    <w:rsid w:val="006202B0"/>
    <w:rsid w:val="00620A10"/>
    <w:rsid w:val="00621303"/>
    <w:rsid w:val="00622C68"/>
    <w:rsid w:val="00624E69"/>
    <w:rsid w:val="006250BD"/>
    <w:rsid w:val="006252F3"/>
    <w:rsid w:val="006263FE"/>
    <w:rsid w:val="00627F55"/>
    <w:rsid w:val="00630110"/>
    <w:rsid w:val="00630165"/>
    <w:rsid w:val="00630713"/>
    <w:rsid w:val="00630F0E"/>
    <w:rsid w:val="006318D5"/>
    <w:rsid w:val="00632803"/>
    <w:rsid w:val="00632E7B"/>
    <w:rsid w:val="006331B4"/>
    <w:rsid w:val="006343F3"/>
    <w:rsid w:val="00634621"/>
    <w:rsid w:val="00635CFA"/>
    <w:rsid w:val="00637BDE"/>
    <w:rsid w:val="00637C38"/>
    <w:rsid w:val="00637FEE"/>
    <w:rsid w:val="0064086D"/>
    <w:rsid w:val="00640C20"/>
    <w:rsid w:val="006426AF"/>
    <w:rsid w:val="00642906"/>
    <w:rsid w:val="00642932"/>
    <w:rsid w:val="00642E8B"/>
    <w:rsid w:val="006446B7"/>
    <w:rsid w:val="006457EF"/>
    <w:rsid w:val="00646159"/>
    <w:rsid w:val="00646558"/>
    <w:rsid w:val="0064673B"/>
    <w:rsid w:val="00647B7F"/>
    <w:rsid w:val="00647C84"/>
    <w:rsid w:val="00650CD8"/>
    <w:rsid w:val="0065123D"/>
    <w:rsid w:val="00651E5F"/>
    <w:rsid w:val="0065200A"/>
    <w:rsid w:val="0065239E"/>
    <w:rsid w:val="00652834"/>
    <w:rsid w:val="00652B2E"/>
    <w:rsid w:val="00652B41"/>
    <w:rsid w:val="006530F6"/>
    <w:rsid w:val="00653512"/>
    <w:rsid w:val="00653FAF"/>
    <w:rsid w:val="00654F74"/>
    <w:rsid w:val="006574B4"/>
    <w:rsid w:val="00657577"/>
    <w:rsid w:val="00660319"/>
    <w:rsid w:val="006605A7"/>
    <w:rsid w:val="00660EA2"/>
    <w:rsid w:val="00662AF0"/>
    <w:rsid w:val="00662FE2"/>
    <w:rsid w:val="00663098"/>
    <w:rsid w:val="006630E7"/>
    <w:rsid w:val="0066455B"/>
    <w:rsid w:val="00665E06"/>
    <w:rsid w:val="00667EAD"/>
    <w:rsid w:val="00670D87"/>
    <w:rsid w:val="006713A1"/>
    <w:rsid w:val="006714D2"/>
    <w:rsid w:val="00672193"/>
    <w:rsid w:val="00672721"/>
    <w:rsid w:val="00672EFB"/>
    <w:rsid w:val="00673412"/>
    <w:rsid w:val="0067595C"/>
    <w:rsid w:val="00675B5A"/>
    <w:rsid w:val="00677A03"/>
    <w:rsid w:val="00677BF9"/>
    <w:rsid w:val="00677D38"/>
    <w:rsid w:val="006807DB"/>
    <w:rsid w:val="00681B85"/>
    <w:rsid w:val="00682606"/>
    <w:rsid w:val="00683500"/>
    <w:rsid w:val="0068398D"/>
    <w:rsid w:val="00684C90"/>
    <w:rsid w:val="006853BB"/>
    <w:rsid w:val="006856F9"/>
    <w:rsid w:val="00685774"/>
    <w:rsid w:val="00685B52"/>
    <w:rsid w:val="00690DC4"/>
    <w:rsid w:val="00691AC7"/>
    <w:rsid w:val="00692389"/>
    <w:rsid w:val="006929A1"/>
    <w:rsid w:val="00692EEF"/>
    <w:rsid w:val="00692F4C"/>
    <w:rsid w:val="00693BB4"/>
    <w:rsid w:val="00694401"/>
    <w:rsid w:val="00695B9D"/>
    <w:rsid w:val="006961C8"/>
    <w:rsid w:val="006973DD"/>
    <w:rsid w:val="00697E00"/>
    <w:rsid w:val="006A0181"/>
    <w:rsid w:val="006A1268"/>
    <w:rsid w:val="006A1CA8"/>
    <w:rsid w:val="006A42F7"/>
    <w:rsid w:val="006A4D3C"/>
    <w:rsid w:val="006A6E43"/>
    <w:rsid w:val="006A721F"/>
    <w:rsid w:val="006B0FE5"/>
    <w:rsid w:val="006B1D1B"/>
    <w:rsid w:val="006B1FA5"/>
    <w:rsid w:val="006B2049"/>
    <w:rsid w:val="006B2111"/>
    <w:rsid w:val="006B25B7"/>
    <w:rsid w:val="006B37D2"/>
    <w:rsid w:val="006B3C1A"/>
    <w:rsid w:val="006B4A33"/>
    <w:rsid w:val="006B4C62"/>
    <w:rsid w:val="006B5151"/>
    <w:rsid w:val="006B5308"/>
    <w:rsid w:val="006B5C68"/>
    <w:rsid w:val="006B660A"/>
    <w:rsid w:val="006B6A06"/>
    <w:rsid w:val="006B7348"/>
    <w:rsid w:val="006B79E9"/>
    <w:rsid w:val="006B7BA3"/>
    <w:rsid w:val="006C0C3C"/>
    <w:rsid w:val="006C13C6"/>
    <w:rsid w:val="006C150F"/>
    <w:rsid w:val="006C1526"/>
    <w:rsid w:val="006C1C98"/>
    <w:rsid w:val="006C1D69"/>
    <w:rsid w:val="006C2EBF"/>
    <w:rsid w:val="006C4070"/>
    <w:rsid w:val="006C5273"/>
    <w:rsid w:val="006C5C83"/>
    <w:rsid w:val="006C5EA3"/>
    <w:rsid w:val="006C6A83"/>
    <w:rsid w:val="006C7C58"/>
    <w:rsid w:val="006D00F6"/>
    <w:rsid w:val="006D17FC"/>
    <w:rsid w:val="006D258F"/>
    <w:rsid w:val="006D2C3E"/>
    <w:rsid w:val="006D37AE"/>
    <w:rsid w:val="006D42B4"/>
    <w:rsid w:val="006D55F0"/>
    <w:rsid w:val="006D56C9"/>
    <w:rsid w:val="006D5929"/>
    <w:rsid w:val="006D59F5"/>
    <w:rsid w:val="006D645A"/>
    <w:rsid w:val="006D6D70"/>
    <w:rsid w:val="006D73F1"/>
    <w:rsid w:val="006D77B2"/>
    <w:rsid w:val="006E0DD8"/>
    <w:rsid w:val="006E1915"/>
    <w:rsid w:val="006E210A"/>
    <w:rsid w:val="006E2975"/>
    <w:rsid w:val="006E318E"/>
    <w:rsid w:val="006E40CF"/>
    <w:rsid w:val="006E5DE7"/>
    <w:rsid w:val="006F0FB1"/>
    <w:rsid w:val="006F24AC"/>
    <w:rsid w:val="006F25EC"/>
    <w:rsid w:val="006F38D4"/>
    <w:rsid w:val="006F3CE4"/>
    <w:rsid w:val="006F4AC1"/>
    <w:rsid w:val="006F4DF0"/>
    <w:rsid w:val="006F5551"/>
    <w:rsid w:val="006F5848"/>
    <w:rsid w:val="006F5AD5"/>
    <w:rsid w:val="0070062A"/>
    <w:rsid w:val="00702682"/>
    <w:rsid w:val="00702762"/>
    <w:rsid w:val="007027B5"/>
    <w:rsid w:val="0070286B"/>
    <w:rsid w:val="00704C5C"/>
    <w:rsid w:val="00704E78"/>
    <w:rsid w:val="00705727"/>
    <w:rsid w:val="00705763"/>
    <w:rsid w:val="00705BF5"/>
    <w:rsid w:val="0071156E"/>
    <w:rsid w:val="00711627"/>
    <w:rsid w:val="00711953"/>
    <w:rsid w:val="007122EC"/>
    <w:rsid w:val="007130AB"/>
    <w:rsid w:val="007132A7"/>
    <w:rsid w:val="00713FCB"/>
    <w:rsid w:val="007144C5"/>
    <w:rsid w:val="007145FF"/>
    <w:rsid w:val="00714A02"/>
    <w:rsid w:val="007171FA"/>
    <w:rsid w:val="00717869"/>
    <w:rsid w:val="00720BDE"/>
    <w:rsid w:val="007212F2"/>
    <w:rsid w:val="007221EA"/>
    <w:rsid w:val="00722598"/>
    <w:rsid w:val="007235B6"/>
    <w:rsid w:val="007238CC"/>
    <w:rsid w:val="007241B9"/>
    <w:rsid w:val="007269C9"/>
    <w:rsid w:val="00727051"/>
    <w:rsid w:val="0073027A"/>
    <w:rsid w:val="00731F53"/>
    <w:rsid w:val="00732519"/>
    <w:rsid w:val="00732E41"/>
    <w:rsid w:val="00733FFD"/>
    <w:rsid w:val="00735682"/>
    <w:rsid w:val="00735C6E"/>
    <w:rsid w:val="007366FA"/>
    <w:rsid w:val="007377EF"/>
    <w:rsid w:val="00737BBF"/>
    <w:rsid w:val="00740A7D"/>
    <w:rsid w:val="0074171A"/>
    <w:rsid w:val="00742467"/>
    <w:rsid w:val="007424D9"/>
    <w:rsid w:val="007426D3"/>
    <w:rsid w:val="00742F29"/>
    <w:rsid w:val="007439CE"/>
    <w:rsid w:val="00745C24"/>
    <w:rsid w:val="00745DB8"/>
    <w:rsid w:val="00747A52"/>
    <w:rsid w:val="00750393"/>
    <w:rsid w:val="007506E3"/>
    <w:rsid w:val="007519B4"/>
    <w:rsid w:val="00751C5E"/>
    <w:rsid w:val="007526C8"/>
    <w:rsid w:val="00752775"/>
    <w:rsid w:val="00752C74"/>
    <w:rsid w:val="00752EB7"/>
    <w:rsid w:val="0075323A"/>
    <w:rsid w:val="00753B55"/>
    <w:rsid w:val="00753E2F"/>
    <w:rsid w:val="00755251"/>
    <w:rsid w:val="007553FB"/>
    <w:rsid w:val="00756313"/>
    <w:rsid w:val="00756E0C"/>
    <w:rsid w:val="00757035"/>
    <w:rsid w:val="00760190"/>
    <w:rsid w:val="007608AA"/>
    <w:rsid w:val="00760AC4"/>
    <w:rsid w:val="00761C51"/>
    <w:rsid w:val="0076231C"/>
    <w:rsid w:val="007624A7"/>
    <w:rsid w:val="007629BA"/>
    <w:rsid w:val="00763885"/>
    <w:rsid w:val="007638A5"/>
    <w:rsid w:val="007642ED"/>
    <w:rsid w:val="0076465C"/>
    <w:rsid w:val="00764A0B"/>
    <w:rsid w:val="007652A2"/>
    <w:rsid w:val="0076568C"/>
    <w:rsid w:val="007662E8"/>
    <w:rsid w:val="00766438"/>
    <w:rsid w:val="00766D9D"/>
    <w:rsid w:val="007677E4"/>
    <w:rsid w:val="007720F9"/>
    <w:rsid w:val="0077235A"/>
    <w:rsid w:val="007724A9"/>
    <w:rsid w:val="00772C38"/>
    <w:rsid w:val="00773976"/>
    <w:rsid w:val="00773AE3"/>
    <w:rsid w:val="00775CF8"/>
    <w:rsid w:val="00776545"/>
    <w:rsid w:val="0077670C"/>
    <w:rsid w:val="00776BF6"/>
    <w:rsid w:val="00776FD9"/>
    <w:rsid w:val="00777B4E"/>
    <w:rsid w:val="00780745"/>
    <w:rsid w:val="00780CDA"/>
    <w:rsid w:val="007811E0"/>
    <w:rsid w:val="0078182D"/>
    <w:rsid w:val="007828DD"/>
    <w:rsid w:val="00782922"/>
    <w:rsid w:val="00784B9E"/>
    <w:rsid w:val="0078573E"/>
    <w:rsid w:val="0078585A"/>
    <w:rsid w:val="007872B3"/>
    <w:rsid w:val="007878C5"/>
    <w:rsid w:val="00790399"/>
    <w:rsid w:val="00794664"/>
    <w:rsid w:val="00794BCA"/>
    <w:rsid w:val="00795098"/>
    <w:rsid w:val="0079572B"/>
    <w:rsid w:val="00795E2F"/>
    <w:rsid w:val="00796124"/>
    <w:rsid w:val="0079680F"/>
    <w:rsid w:val="00796979"/>
    <w:rsid w:val="00796FB5"/>
    <w:rsid w:val="0079762C"/>
    <w:rsid w:val="00797CE1"/>
    <w:rsid w:val="007A0226"/>
    <w:rsid w:val="007A05BE"/>
    <w:rsid w:val="007A076E"/>
    <w:rsid w:val="007A0EBC"/>
    <w:rsid w:val="007A21E5"/>
    <w:rsid w:val="007A3ACE"/>
    <w:rsid w:val="007A4EEE"/>
    <w:rsid w:val="007A590B"/>
    <w:rsid w:val="007A62F8"/>
    <w:rsid w:val="007A6F2A"/>
    <w:rsid w:val="007A76D2"/>
    <w:rsid w:val="007A7A75"/>
    <w:rsid w:val="007A7EA0"/>
    <w:rsid w:val="007B04C9"/>
    <w:rsid w:val="007B0675"/>
    <w:rsid w:val="007B1503"/>
    <w:rsid w:val="007B4AB4"/>
    <w:rsid w:val="007B63A6"/>
    <w:rsid w:val="007B6AD7"/>
    <w:rsid w:val="007B6FD7"/>
    <w:rsid w:val="007C07C1"/>
    <w:rsid w:val="007C0D21"/>
    <w:rsid w:val="007C11B8"/>
    <w:rsid w:val="007C13A8"/>
    <w:rsid w:val="007C23B5"/>
    <w:rsid w:val="007C375E"/>
    <w:rsid w:val="007C386E"/>
    <w:rsid w:val="007C4241"/>
    <w:rsid w:val="007C6499"/>
    <w:rsid w:val="007C6932"/>
    <w:rsid w:val="007D0440"/>
    <w:rsid w:val="007D1083"/>
    <w:rsid w:val="007D4347"/>
    <w:rsid w:val="007D4925"/>
    <w:rsid w:val="007D6298"/>
    <w:rsid w:val="007D7806"/>
    <w:rsid w:val="007D7F83"/>
    <w:rsid w:val="007E008F"/>
    <w:rsid w:val="007E0C49"/>
    <w:rsid w:val="007E0F9F"/>
    <w:rsid w:val="007E16C5"/>
    <w:rsid w:val="007E2168"/>
    <w:rsid w:val="007E3506"/>
    <w:rsid w:val="007E3C97"/>
    <w:rsid w:val="007E3D37"/>
    <w:rsid w:val="007E66AE"/>
    <w:rsid w:val="007E7CCB"/>
    <w:rsid w:val="007E7D01"/>
    <w:rsid w:val="007F0F07"/>
    <w:rsid w:val="007F194B"/>
    <w:rsid w:val="007F2278"/>
    <w:rsid w:val="007F2693"/>
    <w:rsid w:val="007F44B2"/>
    <w:rsid w:val="007F4729"/>
    <w:rsid w:val="007F7044"/>
    <w:rsid w:val="00800281"/>
    <w:rsid w:val="00800EA7"/>
    <w:rsid w:val="00800EA9"/>
    <w:rsid w:val="0080133A"/>
    <w:rsid w:val="0080154C"/>
    <w:rsid w:val="00802C56"/>
    <w:rsid w:val="00803CC9"/>
    <w:rsid w:val="0080482E"/>
    <w:rsid w:val="00804EAC"/>
    <w:rsid w:val="0080686D"/>
    <w:rsid w:val="00807249"/>
    <w:rsid w:val="0080763E"/>
    <w:rsid w:val="00807F8C"/>
    <w:rsid w:val="00810BE6"/>
    <w:rsid w:val="00810F95"/>
    <w:rsid w:val="0081125B"/>
    <w:rsid w:val="008131FC"/>
    <w:rsid w:val="00813AB8"/>
    <w:rsid w:val="00814210"/>
    <w:rsid w:val="00814BD5"/>
    <w:rsid w:val="00814DEF"/>
    <w:rsid w:val="00817FCB"/>
    <w:rsid w:val="008209BC"/>
    <w:rsid w:val="00820B48"/>
    <w:rsid w:val="00820F88"/>
    <w:rsid w:val="00821A37"/>
    <w:rsid w:val="00823C0D"/>
    <w:rsid w:val="00825D11"/>
    <w:rsid w:val="00826116"/>
    <w:rsid w:val="00826A81"/>
    <w:rsid w:val="008271D5"/>
    <w:rsid w:val="00827BE3"/>
    <w:rsid w:val="00830D52"/>
    <w:rsid w:val="008317D8"/>
    <w:rsid w:val="00832B7A"/>
    <w:rsid w:val="00832BFA"/>
    <w:rsid w:val="00834D5A"/>
    <w:rsid w:val="00834E3A"/>
    <w:rsid w:val="00836079"/>
    <w:rsid w:val="00836546"/>
    <w:rsid w:val="00836823"/>
    <w:rsid w:val="0084038F"/>
    <w:rsid w:val="00840443"/>
    <w:rsid w:val="00840F40"/>
    <w:rsid w:val="008417A9"/>
    <w:rsid w:val="00841922"/>
    <w:rsid w:val="008449B3"/>
    <w:rsid w:val="00844B8A"/>
    <w:rsid w:val="00844E8D"/>
    <w:rsid w:val="00845765"/>
    <w:rsid w:val="00846151"/>
    <w:rsid w:val="008461C2"/>
    <w:rsid w:val="008472D3"/>
    <w:rsid w:val="00847669"/>
    <w:rsid w:val="00847DFF"/>
    <w:rsid w:val="008505C3"/>
    <w:rsid w:val="00850716"/>
    <w:rsid w:val="008507B0"/>
    <w:rsid w:val="0085083D"/>
    <w:rsid w:val="0085141F"/>
    <w:rsid w:val="00851621"/>
    <w:rsid w:val="00852B2D"/>
    <w:rsid w:val="0085364C"/>
    <w:rsid w:val="008536D3"/>
    <w:rsid w:val="00853D70"/>
    <w:rsid w:val="00853D86"/>
    <w:rsid w:val="008545FE"/>
    <w:rsid w:val="00857C16"/>
    <w:rsid w:val="00861F22"/>
    <w:rsid w:val="00861FAB"/>
    <w:rsid w:val="0086373F"/>
    <w:rsid w:val="0086472B"/>
    <w:rsid w:val="008655F8"/>
    <w:rsid w:val="00865EB8"/>
    <w:rsid w:val="00867187"/>
    <w:rsid w:val="0086729F"/>
    <w:rsid w:val="00870CFA"/>
    <w:rsid w:val="00872FFC"/>
    <w:rsid w:val="008731A9"/>
    <w:rsid w:val="00873B61"/>
    <w:rsid w:val="008741A8"/>
    <w:rsid w:val="008747DD"/>
    <w:rsid w:val="00874BA9"/>
    <w:rsid w:val="0087520B"/>
    <w:rsid w:val="00875581"/>
    <w:rsid w:val="008772F5"/>
    <w:rsid w:val="00877C01"/>
    <w:rsid w:val="00877C38"/>
    <w:rsid w:val="00877D43"/>
    <w:rsid w:val="0088082B"/>
    <w:rsid w:val="008810F0"/>
    <w:rsid w:val="00882224"/>
    <w:rsid w:val="00883994"/>
    <w:rsid w:val="008851D3"/>
    <w:rsid w:val="00885315"/>
    <w:rsid w:val="0088692B"/>
    <w:rsid w:val="008869E4"/>
    <w:rsid w:val="008875B2"/>
    <w:rsid w:val="00887689"/>
    <w:rsid w:val="00887B9B"/>
    <w:rsid w:val="00890072"/>
    <w:rsid w:val="00892300"/>
    <w:rsid w:val="00892B31"/>
    <w:rsid w:val="00893069"/>
    <w:rsid w:val="0089349F"/>
    <w:rsid w:val="008949BB"/>
    <w:rsid w:val="008955E2"/>
    <w:rsid w:val="00895BB6"/>
    <w:rsid w:val="008970A0"/>
    <w:rsid w:val="00897595"/>
    <w:rsid w:val="008A0049"/>
    <w:rsid w:val="008A05BE"/>
    <w:rsid w:val="008A08AC"/>
    <w:rsid w:val="008A1E4F"/>
    <w:rsid w:val="008A34AB"/>
    <w:rsid w:val="008A40DC"/>
    <w:rsid w:val="008A663D"/>
    <w:rsid w:val="008A6657"/>
    <w:rsid w:val="008A6A67"/>
    <w:rsid w:val="008A6FC6"/>
    <w:rsid w:val="008A7321"/>
    <w:rsid w:val="008A743F"/>
    <w:rsid w:val="008B1FC2"/>
    <w:rsid w:val="008B2C1A"/>
    <w:rsid w:val="008B4018"/>
    <w:rsid w:val="008B4688"/>
    <w:rsid w:val="008B52A6"/>
    <w:rsid w:val="008B6EB1"/>
    <w:rsid w:val="008C01B2"/>
    <w:rsid w:val="008C0F67"/>
    <w:rsid w:val="008C0FFF"/>
    <w:rsid w:val="008C106F"/>
    <w:rsid w:val="008C1260"/>
    <w:rsid w:val="008C13D7"/>
    <w:rsid w:val="008C2492"/>
    <w:rsid w:val="008C4212"/>
    <w:rsid w:val="008C4A87"/>
    <w:rsid w:val="008C5133"/>
    <w:rsid w:val="008C5174"/>
    <w:rsid w:val="008C5476"/>
    <w:rsid w:val="008C5D8A"/>
    <w:rsid w:val="008C5DA4"/>
    <w:rsid w:val="008C7FF9"/>
    <w:rsid w:val="008D12C4"/>
    <w:rsid w:val="008D367A"/>
    <w:rsid w:val="008D40FF"/>
    <w:rsid w:val="008D436B"/>
    <w:rsid w:val="008D5601"/>
    <w:rsid w:val="008D5EB6"/>
    <w:rsid w:val="008D6243"/>
    <w:rsid w:val="008D7952"/>
    <w:rsid w:val="008E122D"/>
    <w:rsid w:val="008E13D2"/>
    <w:rsid w:val="008E179C"/>
    <w:rsid w:val="008E20E0"/>
    <w:rsid w:val="008E395A"/>
    <w:rsid w:val="008E4CC0"/>
    <w:rsid w:val="008E51EA"/>
    <w:rsid w:val="008E5F9C"/>
    <w:rsid w:val="008E6FCB"/>
    <w:rsid w:val="008E7585"/>
    <w:rsid w:val="008F0BD6"/>
    <w:rsid w:val="008F1585"/>
    <w:rsid w:val="008F1FA0"/>
    <w:rsid w:val="008F273F"/>
    <w:rsid w:val="008F32E6"/>
    <w:rsid w:val="008F400E"/>
    <w:rsid w:val="008F4733"/>
    <w:rsid w:val="008F585B"/>
    <w:rsid w:val="008F607E"/>
    <w:rsid w:val="008F6760"/>
    <w:rsid w:val="008F6DD8"/>
    <w:rsid w:val="008F71DA"/>
    <w:rsid w:val="008F7E84"/>
    <w:rsid w:val="0090054E"/>
    <w:rsid w:val="00900551"/>
    <w:rsid w:val="00900D02"/>
    <w:rsid w:val="00901198"/>
    <w:rsid w:val="00901AA8"/>
    <w:rsid w:val="00901B5F"/>
    <w:rsid w:val="00901C9C"/>
    <w:rsid w:val="009029F0"/>
    <w:rsid w:val="00902B51"/>
    <w:rsid w:val="009031B1"/>
    <w:rsid w:val="00904168"/>
    <w:rsid w:val="00904598"/>
    <w:rsid w:val="009046BE"/>
    <w:rsid w:val="0090560A"/>
    <w:rsid w:val="00905AAC"/>
    <w:rsid w:val="00905E6E"/>
    <w:rsid w:val="00906019"/>
    <w:rsid w:val="0090723C"/>
    <w:rsid w:val="009072B4"/>
    <w:rsid w:val="009103F0"/>
    <w:rsid w:val="00910893"/>
    <w:rsid w:val="00912CBF"/>
    <w:rsid w:val="00915B02"/>
    <w:rsid w:val="00916D91"/>
    <w:rsid w:val="00917FFE"/>
    <w:rsid w:val="00921F45"/>
    <w:rsid w:val="009238A9"/>
    <w:rsid w:val="00923A57"/>
    <w:rsid w:val="00923CB1"/>
    <w:rsid w:val="0092657D"/>
    <w:rsid w:val="00927848"/>
    <w:rsid w:val="009278DD"/>
    <w:rsid w:val="009309ED"/>
    <w:rsid w:val="00930E69"/>
    <w:rsid w:val="00930F61"/>
    <w:rsid w:val="00932A58"/>
    <w:rsid w:val="00932A74"/>
    <w:rsid w:val="00933ABD"/>
    <w:rsid w:val="0094032E"/>
    <w:rsid w:val="00941AF4"/>
    <w:rsid w:val="00942F42"/>
    <w:rsid w:val="0094366C"/>
    <w:rsid w:val="009441CB"/>
    <w:rsid w:val="00944F71"/>
    <w:rsid w:val="00945ECB"/>
    <w:rsid w:val="00946151"/>
    <w:rsid w:val="00947494"/>
    <w:rsid w:val="0094755F"/>
    <w:rsid w:val="00950090"/>
    <w:rsid w:val="00950BEF"/>
    <w:rsid w:val="00950DFA"/>
    <w:rsid w:val="009517DC"/>
    <w:rsid w:val="00952A8C"/>
    <w:rsid w:val="00952F07"/>
    <w:rsid w:val="00953ADF"/>
    <w:rsid w:val="009570D7"/>
    <w:rsid w:val="00960BA8"/>
    <w:rsid w:val="00960FC5"/>
    <w:rsid w:val="009618EE"/>
    <w:rsid w:val="00961F99"/>
    <w:rsid w:val="00962331"/>
    <w:rsid w:val="00962564"/>
    <w:rsid w:val="00962B47"/>
    <w:rsid w:val="00962CAF"/>
    <w:rsid w:val="00964616"/>
    <w:rsid w:val="00964CB2"/>
    <w:rsid w:val="009652E5"/>
    <w:rsid w:val="009666F6"/>
    <w:rsid w:val="00966B0B"/>
    <w:rsid w:val="00967AC2"/>
    <w:rsid w:val="00967B71"/>
    <w:rsid w:val="0097016A"/>
    <w:rsid w:val="009703F3"/>
    <w:rsid w:val="00970A50"/>
    <w:rsid w:val="0097118F"/>
    <w:rsid w:val="0097136F"/>
    <w:rsid w:val="00971D3F"/>
    <w:rsid w:val="00971F96"/>
    <w:rsid w:val="0097324A"/>
    <w:rsid w:val="009760C8"/>
    <w:rsid w:val="0097684A"/>
    <w:rsid w:val="0097702A"/>
    <w:rsid w:val="0098028A"/>
    <w:rsid w:val="00980A55"/>
    <w:rsid w:val="00981494"/>
    <w:rsid w:val="00981B9F"/>
    <w:rsid w:val="00982F6B"/>
    <w:rsid w:val="00983DE9"/>
    <w:rsid w:val="009841AE"/>
    <w:rsid w:val="00985ECD"/>
    <w:rsid w:val="00986414"/>
    <w:rsid w:val="00990CAC"/>
    <w:rsid w:val="00991632"/>
    <w:rsid w:val="00991A44"/>
    <w:rsid w:val="00992934"/>
    <w:rsid w:val="00993C17"/>
    <w:rsid w:val="00994CF3"/>
    <w:rsid w:val="00995CFD"/>
    <w:rsid w:val="00996A66"/>
    <w:rsid w:val="009A020A"/>
    <w:rsid w:val="009A0271"/>
    <w:rsid w:val="009A1752"/>
    <w:rsid w:val="009A22DE"/>
    <w:rsid w:val="009A5325"/>
    <w:rsid w:val="009A7186"/>
    <w:rsid w:val="009A73A3"/>
    <w:rsid w:val="009A78EA"/>
    <w:rsid w:val="009B0D77"/>
    <w:rsid w:val="009B1476"/>
    <w:rsid w:val="009B1841"/>
    <w:rsid w:val="009B2321"/>
    <w:rsid w:val="009B35C0"/>
    <w:rsid w:val="009B3B7F"/>
    <w:rsid w:val="009B3E97"/>
    <w:rsid w:val="009B402B"/>
    <w:rsid w:val="009B52B2"/>
    <w:rsid w:val="009B6123"/>
    <w:rsid w:val="009B621A"/>
    <w:rsid w:val="009B6922"/>
    <w:rsid w:val="009B6FD0"/>
    <w:rsid w:val="009B7361"/>
    <w:rsid w:val="009C1617"/>
    <w:rsid w:val="009C1E4F"/>
    <w:rsid w:val="009C33C2"/>
    <w:rsid w:val="009C3E56"/>
    <w:rsid w:val="009C45D9"/>
    <w:rsid w:val="009C52F7"/>
    <w:rsid w:val="009C6F32"/>
    <w:rsid w:val="009C732D"/>
    <w:rsid w:val="009D1AB0"/>
    <w:rsid w:val="009D2813"/>
    <w:rsid w:val="009D337B"/>
    <w:rsid w:val="009D33A2"/>
    <w:rsid w:val="009D3870"/>
    <w:rsid w:val="009D3DF5"/>
    <w:rsid w:val="009D5DF5"/>
    <w:rsid w:val="009D6470"/>
    <w:rsid w:val="009E183C"/>
    <w:rsid w:val="009E1FDA"/>
    <w:rsid w:val="009E2A9D"/>
    <w:rsid w:val="009E3B69"/>
    <w:rsid w:val="009E420F"/>
    <w:rsid w:val="009E44B6"/>
    <w:rsid w:val="009E6598"/>
    <w:rsid w:val="009E6F8E"/>
    <w:rsid w:val="009E7E1F"/>
    <w:rsid w:val="009E7F0C"/>
    <w:rsid w:val="009F03B4"/>
    <w:rsid w:val="009F03E1"/>
    <w:rsid w:val="009F04B1"/>
    <w:rsid w:val="009F0E2A"/>
    <w:rsid w:val="009F1093"/>
    <w:rsid w:val="009F14F6"/>
    <w:rsid w:val="009F19C2"/>
    <w:rsid w:val="009F1F47"/>
    <w:rsid w:val="009F28D4"/>
    <w:rsid w:val="009F307F"/>
    <w:rsid w:val="009F42E0"/>
    <w:rsid w:val="009F466A"/>
    <w:rsid w:val="009F4675"/>
    <w:rsid w:val="009F5B77"/>
    <w:rsid w:val="009F739C"/>
    <w:rsid w:val="009F754C"/>
    <w:rsid w:val="00A00767"/>
    <w:rsid w:val="00A007DC"/>
    <w:rsid w:val="00A014E2"/>
    <w:rsid w:val="00A01D32"/>
    <w:rsid w:val="00A026F1"/>
    <w:rsid w:val="00A06657"/>
    <w:rsid w:val="00A06E1A"/>
    <w:rsid w:val="00A10543"/>
    <w:rsid w:val="00A11129"/>
    <w:rsid w:val="00A11706"/>
    <w:rsid w:val="00A11772"/>
    <w:rsid w:val="00A131AE"/>
    <w:rsid w:val="00A138AA"/>
    <w:rsid w:val="00A151F6"/>
    <w:rsid w:val="00A1530F"/>
    <w:rsid w:val="00A15E10"/>
    <w:rsid w:val="00A161A7"/>
    <w:rsid w:val="00A1624E"/>
    <w:rsid w:val="00A16B33"/>
    <w:rsid w:val="00A20CE4"/>
    <w:rsid w:val="00A20EAD"/>
    <w:rsid w:val="00A21C03"/>
    <w:rsid w:val="00A21E00"/>
    <w:rsid w:val="00A223A4"/>
    <w:rsid w:val="00A23607"/>
    <w:rsid w:val="00A252A1"/>
    <w:rsid w:val="00A25A11"/>
    <w:rsid w:val="00A25A1F"/>
    <w:rsid w:val="00A25CA4"/>
    <w:rsid w:val="00A277C5"/>
    <w:rsid w:val="00A27B29"/>
    <w:rsid w:val="00A306FB"/>
    <w:rsid w:val="00A30741"/>
    <w:rsid w:val="00A30F10"/>
    <w:rsid w:val="00A31812"/>
    <w:rsid w:val="00A31A26"/>
    <w:rsid w:val="00A31B81"/>
    <w:rsid w:val="00A330B9"/>
    <w:rsid w:val="00A333FF"/>
    <w:rsid w:val="00A33620"/>
    <w:rsid w:val="00A33806"/>
    <w:rsid w:val="00A33FAA"/>
    <w:rsid w:val="00A340A9"/>
    <w:rsid w:val="00A34DCF"/>
    <w:rsid w:val="00A35313"/>
    <w:rsid w:val="00A35679"/>
    <w:rsid w:val="00A37186"/>
    <w:rsid w:val="00A3746D"/>
    <w:rsid w:val="00A37C2D"/>
    <w:rsid w:val="00A37E84"/>
    <w:rsid w:val="00A42690"/>
    <w:rsid w:val="00A426B0"/>
    <w:rsid w:val="00A42DE9"/>
    <w:rsid w:val="00A469AB"/>
    <w:rsid w:val="00A47311"/>
    <w:rsid w:val="00A47537"/>
    <w:rsid w:val="00A531AD"/>
    <w:rsid w:val="00A53F03"/>
    <w:rsid w:val="00A5456D"/>
    <w:rsid w:val="00A5494C"/>
    <w:rsid w:val="00A54B11"/>
    <w:rsid w:val="00A54F83"/>
    <w:rsid w:val="00A56B47"/>
    <w:rsid w:val="00A56BFE"/>
    <w:rsid w:val="00A5794B"/>
    <w:rsid w:val="00A57B00"/>
    <w:rsid w:val="00A61336"/>
    <w:rsid w:val="00A635DB"/>
    <w:rsid w:val="00A64736"/>
    <w:rsid w:val="00A6573D"/>
    <w:rsid w:val="00A70099"/>
    <w:rsid w:val="00A70EB2"/>
    <w:rsid w:val="00A70F85"/>
    <w:rsid w:val="00A71D67"/>
    <w:rsid w:val="00A73DF6"/>
    <w:rsid w:val="00A740F9"/>
    <w:rsid w:val="00A74C18"/>
    <w:rsid w:val="00A75209"/>
    <w:rsid w:val="00A75B6C"/>
    <w:rsid w:val="00A75F62"/>
    <w:rsid w:val="00A7650C"/>
    <w:rsid w:val="00A76B09"/>
    <w:rsid w:val="00A8052F"/>
    <w:rsid w:val="00A817BE"/>
    <w:rsid w:val="00A825AF"/>
    <w:rsid w:val="00A82A49"/>
    <w:rsid w:val="00A83152"/>
    <w:rsid w:val="00A839AB"/>
    <w:rsid w:val="00A84918"/>
    <w:rsid w:val="00A854A8"/>
    <w:rsid w:val="00A86271"/>
    <w:rsid w:val="00A86D3D"/>
    <w:rsid w:val="00A86E42"/>
    <w:rsid w:val="00A907DA"/>
    <w:rsid w:val="00A92ECD"/>
    <w:rsid w:val="00A95791"/>
    <w:rsid w:val="00A96A2E"/>
    <w:rsid w:val="00AA157E"/>
    <w:rsid w:val="00AA216B"/>
    <w:rsid w:val="00AA29B8"/>
    <w:rsid w:val="00AA2F49"/>
    <w:rsid w:val="00AA668A"/>
    <w:rsid w:val="00AA7001"/>
    <w:rsid w:val="00AB0BE0"/>
    <w:rsid w:val="00AB22F3"/>
    <w:rsid w:val="00AB2338"/>
    <w:rsid w:val="00AB2948"/>
    <w:rsid w:val="00AB2989"/>
    <w:rsid w:val="00AB2B9D"/>
    <w:rsid w:val="00AB39FA"/>
    <w:rsid w:val="00AB431B"/>
    <w:rsid w:val="00AB48AC"/>
    <w:rsid w:val="00AB4BAF"/>
    <w:rsid w:val="00AB4F6D"/>
    <w:rsid w:val="00AB56AC"/>
    <w:rsid w:val="00AB61DA"/>
    <w:rsid w:val="00AB61E2"/>
    <w:rsid w:val="00AB6310"/>
    <w:rsid w:val="00AB6AB6"/>
    <w:rsid w:val="00AC070E"/>
    <w:rsid w:val="00AC2E42"/>
    <w:rsid w:val="00AC308D"/>
    <w:rsid w:val="00AC454B"/>
    <w:rsid w:val="00AC4938"/>
    <w:rsid w:val="00AC5013"/>
    <w:rsid w:val="00AC5EA6"/>
    <w:rsid w:val="00AC7332"/>
    <w:rsid w:val="00AC7A3B"/>
    <w:rsid w:val="00AC7D8D"/>
    <w:rsid w:val="00AD053A"/>
    <w:rsid w:val="00AD09FC"/>
    <w:rsid w:val="00AD228A"/>
    <w:rsid w:val="00AD2405"/>
    <w:rsid w:val="00AD265B"/>
    <w:rsid w:val="00AD2F06"/>
    <w:rsid w:val="00AD3A06"/>
    <w:rsid w:val="00AD4361"/>
    <w:rsid w:val="00AD4AAB"/>
    <w:rsid w:val="00AD4C70"/>
    <w:rsid w:val="00AD4F1D"/>
    <w:rsid w:val="00AD564E"/>
    <w:rsid w:val="00AD5B3A"/>
    <w:rsid w:val="00AD6933"/>
    <w:rsid w:val="00AD6B7B"/>
    <w:rsid w:val="00AD70D8"/>
    <w:rsid w:val="00AE12B2"/>
    <w:rsid w:val="00AE1B68"/>
    <w:rsid w:val="00AE2A15"/>
    <w:rsid w:val="00AE2BAD"/>
    <w:rsid w:val="00AE3728"/>
    <w:rsid w:val="00AE5395"/>
    <w:rsid w:val="00AE5645"/>
    <w:rsid w:val="00AE625D"/>
    <w:rsid w:val="00AF070E"/>
    <w:rsid w:val="00AF0F18"/>
    <w:rsid w:val="00AF1001"/>
    <w:rsid w:val="00AF1056"/>
    <w:rsid w:val="00AF37B3"/>
    <w:rsid w:val="00AF3BD0"/>
    <w:rsid w:val="00AF47F8"/>
    <w:rsid w:val="00AF4E3E"/>
    <w:rsid w:val="00AF5A88"/>
    <w:rsid w:val="00AF5F1E"/>
    <w:rsid w:val="00AF6138"/>
    <w:rsid w:val="00AF6E34"/>
    <w:rsid w:val="00B005F8"/>
    <w:rsid w:val="00B00C92"/>
    <w:rsid w:val="00B00D4F"/>
    <w:rsid w:val="00B017B5"/>
    <w:rsid w:val="00B01935"/>
    <w:rsid w:val="00B027E6"/>
    <w:rsid w:val="00B02B45"/>
    <w:rsid w:val="00B031CF"/>
    <w:rsid w:val="00B03BD3"/>
    <w:rsid w:val="00B048F1"/>
    <w:rsid w:val="00B0632E"/>
    <w:rsid w:val="00B068A2"/>
    <w:rsid w:val="00B06B4E"/>
    <w:rsid w:val="00B10447"/>
    <w:rsid w:val="00B114ED"/>
    <w:rsid w:val="00B12732"/>
    <w:rsid w:val="00B12F36"/>
    <w:rsid w:val="00B13E2C"/>
    <w:rsid w:val="00B1488A"/>
    <w:rsid w:val="00B148D5"/>
    <w:rsid w:val="00B150F7"/>
    <w:rsid w:val="00B15923"/>
    <w:rsid w:val="00B169ED"/>
    <w:rsid w:val="00B20479"/>
    <w:rsid w:val="00B20CBA"/>
    <w:rsid w:val="00B21E1B"/>
    <w:rsid w:val="00B220DC"/>
    <w:rsid w:val="00B2217A"/>
    <w:rsid w:val="00B22597"/>
    <w:rsid w:val="00B228F8"/>
    <w:rsid w:val="00B22A97"/>
    <w:rsid w:val="00B22B4B"/>
    <w:rsid w:val="00B22F4B"/>
    <w:rsid w:val="00B23327"/>
    <w:rsid w:val="00B23A8C"/>
    <w:rsid w:val="00B24506"/>
    <w:rsid w:val="00B258CD"/>
    <w:rsid w:val="00B25D36"/>
    <w:rsid w:val="00B2601C"/>
    <w:rsid w:val="00B26E0F"/>
    <w:rsid w:val="00B27240"/>
    <w:rsid w:val="00B27FE2"/>
    <w:rsid w:val="00B3082A"/>
    <w:rsid w:val="00B308C7"/>
    <w:rsid w:val="00B30C9F"/>
    <w:rsid w:val="00B3151F"/>
    <w:rsid w:val="00B3175E"/>
    <w:rsid w:val="00B32112"/>
    <w:rsid w:val="00B33A95"/>
    <w:rsid w:val="00B33D4B"/>
    <w:rsid w:val="00B33EE1"/>
    <w:rsid w:val="00B35861"/>
    <w:rsid w:val="00B35E1B"/>
    <w:rsid w:val="00B36828"/>
    <w:rsid w:val="00B3698C"/>
    <w:rsid w:val="00B3729A"/>
    <w:rsid w:val="00B3758F"/>
    <w:rsid w:val="00B41897"/>
    <w:rsid w:val="00B430BC"/>
    <w:rsid w:val="00B4332D"/>
    <w:rsid w:val="00B4396B"/>
    <w:rsid w:val="00B4621E"/>
    <w:rsid w:val="00B47DEC"/>
    <w:rsid w:val="00B502C2"/>
    <w:rsid w:val="00B511C1"/>
    <w:rsid w:val="00B51F04"/>
    <w:rsid w:val="00B5268C"/>
    <w:rsid w:val="00B526FE"/>
    <w:rsid w:val="00B52C23"/>
    <w:rsid w:val="00B5331E"/>
    <w:rsid w:val="00B53D83"/>
    <w:rsid w:val="00B54069"/>
    <w:rsid w:val="00B553BD"/>
    <w:rsid w:val="00B56921"/>
    <w:rsid w:val="00B5744B"/>
    <w:rsid w:val="00B60332"/>
    <w:rsid w:val="00B6077F"/>
    <w:rsid w:val="00B60A54"/>
    <w:rsid w:val="00B60D8B"/>
    <w:rsid w:val="00B61619"/>
    <w:rsid w:val="00B616B8"/>
    <w:rsid w:val="00B6375B"/>
    <w:rsid w:val="00B6422B"/>
    <w:rsid w:val="00B64580"/>
    <w:rsid w:val="00B66258"/>
    <w:rsid w:val="00B667CC"/>
    <w:rsid w:val="00B66A29"/>
    <w:rsid w:val="00B66C21"/>
    <w:rsid w:val="00B66F0E"/>
    <w:rsid w:val="00B6785A"/>
    <w:rsid w:val="00B70621"/>
    <w:rsid w:val="00B71FD0"/>
    <w:rsid w:val="00B725B5"/>
    <w:rsid w:val="00B731D8"/>
    <w:rsid w:val="00B73202"/>
    <w:rsid w:val="00B743BF"/>
    <w:rsid w:val="00B752D8"/>
    <w:rsid w:val="00B75309"/>
    <w:rsid w:val="00B754C8"/>
    <w:rsid w:val="00B75F7C"/>
    <w:rsid w:val="00B75FA4"/>
    <w:rsid w:val="00B76249"/>
    <w:rsid w:val="00B7629B"/>
    <w:rsid w:val="00B76CF1"/>
    <w:rsid w:val="00B77DCA"/>
    <w:rsid w:val="00B8476B"/>
    <w:rsid w:val="00B8666C"/>
    <w:rsid w:val="00B86EFB"/>
    <w:rsid w:val="00B86F7E"/>
    <w:rsid w:val="00B87CD9"/>
    <w:rsid w:val="00B904E1"/>
    <w:rsid w:val="00B90D19"/>
    <w:rsid w:val="00B91ED4"/>
    <w:rsid w:val="00B925F7"/>
    <w:rsid w:val="00B935F9"/>
    <w:rsid w:val="00B9559F"/>
    <w:rsid w:val="00B96594"/>
    <w:rsid w:val="00B972E8"/>
    <w:rsid w:val="00B97F89"/>
    <w:rsid w:val="00BA0D92"/>
    <w:rsid w:val="00BA1872"/>
    <w:rsid w:val="00BA1B88"/>
    <w:rsid w:val="00BA38FB"/>
    <w:rsid w:val="00BA3D4E"/>
    <w:rsid w:val="00BA401C"/>
    <w:rsid w:val="00BA5C93"/>
    <w:rsid w:val="00BA5F3D"/>
    <w:rsid w:val="00BA6715"/>
    <w:rsid w:val="00BA6C7D"/>
    <w:rsid w:val="00BA706A"/>
    <w:rsid w:val="00BB047B"/>
    <w:rsid w:val="00BB06F7"/>
    <w:rsid w:val="00BB0FB8"/>
    <w:rsid w:val="00BB2070"/>
    <w:rsid w:val="00BB2907"/>
    <w:rsid w:val="00BB3A76"/>
    <w:rsid w:val="00BB5931"/>
    <w:rsid w:val="00BB6398"/>
    <w:rsid w:val="00BB7835"/>
    <w:rsid w:val="00BC053C"/>
    <w:rsid w:val="00BC06DC"/>
    <w:rsid w:val="00BC0D46"/>
    <w:rsid w:val="00BC188A"/>
    <w:rsid w:val="00BC24A9"/>
    <w:rsid w:val="00BC34B8"/>
    <w:rsid w:val="00BC36BA"/>
    <w:rsid w:val="00BC4EE9"/>
    <w:rsid w:val="00BC5092"/>
    <w:rsid w:val="00BC6981"/>
    <w:rsid w:val="00BC6B04"/>
    <w:rsid w:val="00BC6C88"/>
    <w:rsid w:val="00BD00B0"/>
    <w:rsid w:val="00BD0171"/>
    <w:rsid w:val="00BD0372"/>
    <w:rsid w:val="00BD1431"/>
    <w:rsid w:val="00BD1758"/>
    <w:rsid w:val="00BD1A7B"/>
    <w:rsid w:val="00BD1E9E"/>
    <w:rsid w:val="00BD4F24"/>
    <w:rsid w:val="00BD594A"/>
    <w:rsid w:val="00BD5C26"/>
    <w:rsid w:val="00BD649B"/>
    <w:rsid w:val="00BE041D"/>
    <w:rsid w:val="00BE04C3"/>
    <w:rsid w:val="00BE0801"/>
    <w:rsid w:val="00BE1760"/>
    <w:rsid w:val="00BE264C"/>
    <w:rsid w:val="00BE3674"/>
    <w:rsid w:val="00BE3B37"/>
    <w:rsid w:val="00BE4B77"/>
    <w:rsid w:val="00BE51CC"/>
    <w:rsid w:val="00BE58AF"/>
    <w:rsid w:val="00BE6784"/>
    <w:rsid w:val="00BE6D1A"/>
    <w:rsid w:val="00BE7B95"/>
    <w:rsid w:val="00BE7E2E"/>
    <w:rsid w:val="00BF0D98"/>
    <w:rsid w:val="00BF22D5"/>
    <w:rsid w:val="00BF4895"/>
    <w:rsid w:val="00BF4BC6"/>
    <w:rsid w:val="00BF5523"/>
    <w:rsid w:val="00BF5649"/>
    <w:rsid w:val="00BF5DC3"/>
    <w:rsid w:val="00BF6F8F"/>
    <w:rsid w:val="00BF70C2"/>
    <w:rsid w:val="00C00674"/>
    <w:rsid w:val="00C039E7"/>
    <w:rsid w:val="00C03E8B"/>
    <w:rsid w:val="00C0478A"/>
    <w:rsid w:val="00C04B96"/>
    <w:rsid w:val="00C04B98"/>
    <w:rsid w:val="00C04C67"/>
    <w:rsid w:val="00C05BA6"/>
    <w:rsid w:val="00C05F44"/>
    <w:rsid w:val="00C0663E"/>
    <w:rsid w:val="00C06CFA"/>
    <w:rsid w:val="00C074D3"/>
    <w:rsid w:val="00C0798E"/>
    <w:rsid w:val="00C11660"/>
    <w:rsid w:val="00C11FE8"/>
    <w:rsid w:val="00C139CA"/>
    <w:rsid w:val="00C14C85"/>
    <w:rsid w:val="00C1637E"/>
    <w:rsid w:val="00C16879"/>
    <w:rsid w:val="00C17981"/>
    <w:rsid w:val="00C20275"/>
    <w:rsid w:val="00C226C8"/>
    <w:rsid w:val="00C23CB5"/>
    <w:rsid w:val="00C2537B"/>
    <w:rsid w:val="00C257AF"/>
    <w:rsid w:val="00C266FD"/>
    <w:rsid w:val="00C274A5"/>
    <w:rsid w:val="00C30202"/>
    <w:rsid w:val="00C30AEA"/>
    <w:rsid w:val="00C336A3"/>
    <w:rsid w:val="00C33AF7"/>
    <w:rsid w:val="00C34737"/>
    <w:rsid w:val="00C34D5D"/>
    <w:rsid w:val="00C3543D"/>
    <w:rsid w:val="00C364A7"/>
    <w:rsid w:val="00C36B7D"/>
    <w:rsid w:val="00C3773F"/>
    <w:rsid w:val="00C379D7"/>
    <w:rsid w:val="00C37E0C"/>
    <w:rsid w:val="00C40BD6"/>
    <w:rsid w:val="00C410B7"/>
    <w:rsid w:val="00C4117E"/>
    <w:rsid w:val="00C435D1"/>
    <w:rsid w:val="00C43D09"/>
    <w:rsid w:val="00C4563E"/>
    <w:rsid w:val="00C45995"/>
    <w:rsid w:val="00C473D0"/>
    <w:rsid w:val="00C477DF"/>
    <w:rsid w:val="00C50768"/>
    <w:rsid w:val="00C51429"/>
    <w:rsid w:val="00C51EB9"/>
    <w:rsid w:val="00C525C5"/>
    <w:rsid w:val="00C53928"/>
    <w:rsid w:val="00C53D5D"/>
    <w:rsid w:val="00C53F30"/>
    <w:rsid w:val="00C5429C"/>
    <w:rsid w:val="00C554CC"/>
    <w:rsid w:val="00C561A3"/>
    <w:rsid w:val="00C572E8"/>
    <w:rsid w:val="00C574DE"/>
    <w:rsid w:val="00C6005C"/>
    <w:rsid w:val="00C600E1"/>
    <w:rsid w:val="00C64138"/>
    <w:rsid w:val="00C641B8"/>
    <w:rsid w:val="00C6442F"/>
    <w:rsid w:val="00C6450D"/>
    <w:rsid w:val="00C64BA4"/>
    <w:rsid w:val="00C655C7"/>
    <w:rsid w:val="00C66F8B"/>
    <w:rsid w:val="00C670EF"/>
    <w:rsid w:val="00C67CB0"/>
    <w:rsid w:val="00C67E0A"/>
    <w:rsid w:val="00C67F4E"/>
    <w:rsid w:val="00C70A8A"/>
    <w:rsid w:val="00C72FB5"/>
    <w:rsid w:val="00C7301E"/>
    <w:rsid w:val="00C74E86"/>
    <w:rsid w:val="00C753FC"/>
    <w:rsid w:val="00C75B23"/>
    <w:rsid w:val="00C76930"/>
    <w:rsid w:val="00C806B6"/>
    <w:rsid w:val="00C81A18"/>
    <w:rsid w:val="00C81F2A"/>
    <w:rsid w:val="00C822DE"/>
    <w:rsid w:val="00C84137"/>
    <w:rsid w:val="00C84438"/>
    <w:rsid w:val="00C877B8"/>
    <w:rsid w:val="00C87901"/>
    <w:rsid w:val="00C90208"/>
    <w:rsid w:val="00C9047C"/>
    <w:rsid w:val="00C90E04"/>
    <w:rsid w:val="00C910D0"/>
    <w:rsid w:val="00C91CEB"/>
    <w:rsid w:val="00C94E3A"/>
    <w:rsid w:val="00C9577C"/>
    <w:rsid w:val="00C95940"/>
    <w:rsid w:val="00C96637"/>
    <w:rsid w:val="00C97D53"/>
    <w:rsid w:val="00C97D9A"/>
    <w:rsid w:val="00CA033B"/>
    <w:rsid w:val="00CA0A27"/>
    <w:rsid w:val="00CA11EA"/>
    <w:rsid w:val="00CA2148"/>
    <w:rsid w:val="00CA3915"/>
    <w:rsid w:val="00CA3D5F"/>
    <w:rsid w:val="00CA4439"/>
    <w:rsid w:val="00CA444F"/>
    <w:rsid w:val="00CA44C2"/>
    <w:rsid w:val="00CA4A97"/>
    <w:rsid w:val="00CA4DD3"/>
    <w:rsid w:val="00CA6B65"/>
    <w:rsid w:val="00CB314F"/>
    <w:rsid w:val="00CB3713"/>
    <w:rsid w:val="00CB3892"/>
    <w:rsid w:val="00CB53F7"/>
    <w:rsid w:val="00CB5CE5"/>
    <w:rsid w:val="00CB7C79"/>
    <w:rsid w:val="00CC056D"/>
    <w:rsid w:val="00CC2458"/>
    <w:rsid w:val="00CC289F"/>
    <w:rsid w:val="00CC28BC"/>
    <w:rsid w:val="00CC3353"/>
    <w:rsid w:val="00CC5804"/>
    <w:rsid w:val="00CC60B1"/>
    <w:rsid w:val="00CC754B"/>
    <w:rsid w:val="00CC7D45"/>
    <w:rsid w:val="00CD0447"/>
    <w:rsid w:val="00CD0932"/>
    <w:rsid w:val="00CD0ADC"/>
    <w:rsid w:val="00CD0AF2"/>
    <w:rsid w:val="00CD1CFA"/>
    <w:rsid w:val="00CD1E56"/>
    <w:rsid w:val="00CD27B6"/>
    <w:rsid w:val="00CD3174"/>
    <w:rsid w:val="00CD47BB"/>
    <w:rsid w:val="00CD480C"/>
    <w:rsid w:val="00CD4862"/>
    <w:rsid w:val="00CD5F46"/>
    <w:rsid w:val="00CD6ED0"/>
    <w:rsid w:val="00CE154F"/>
    <w:rsid w:val="00CE243F"/>
    <w:rsid w:val="00CE3FAE"/>
    <w:rsid w:val="00CE409E"/>
    <w:rsid w:val="00CE433C"/>
    <w:rsid w:val="00CE5089"/>
    <w:rsid w:val="00CE7803"/>
    <w:rsid w:val="00CE78D2"/>
    <w:rsid w:val="00CF12BD"/>
    <w:rsid w:val="00CF1558"/>
    <w:rsid w:val="00CF294E"/>
    <w:rsid w:val="00CF39D3"/>
    <w:rsid w:val="00CF3E52"/>
    <w:rsid w:val="00CF3EA7"/>
    <w:rsid w:val="00CF69AA"/>
    <w:rsid w:val="00CF79C0"/>
    <w:rsid w:val="00D00FB2"/>
    <w:rsid w:val="00D018F3"/>
    <w:rsid w:val="00D0433A"/>
    <w:rsid w:val="00D05704"/>
    <w:rsid w:val="00D0585A"/>
    <w:rsid w:val="00D064DA"/>
    <w:rsid w:val="00D06DAE"/>
    <w:rsid w:val="00D075EF"/>
    <w:rsid w:val="00D07E2B"/>
    <w:rsid w:val="00D10E18"/>
    <w:rsid w:val="00D10E7D"/>
    <w:rsid w:val="00D11C05"/>
    <w:rsid w:val="00D1209C"/>
    <w:rsid w:val="00D1321B"/>
    <w:rsid w:val="00D13370"/>
    <w:rsid w:val="00D14C3B"/>
    <w:rsid w:val="00D159D3"/>
    <w:rsid w:val="00D15F11"/>
    <w:rsid w:val="00D15FAD"/>
    <w:rsid w:val="00D16568"/>
    <w:rsid w:val="00D16CBC"/>
    <w:rsid w:val="00D17F6F"/>
    <w:rsid w:val="00D20B5F"/>
    <w:rsid w:val="00D21C71"/>
    <w:rsid w:val="00D23146"/>
    <w:rsid w:val="00D27B4C"/>
    <w:rsid w:val="00D30C4A"/>
    <w:rsid w:val="00D31D2A"/>
    <w:rsid w:val="00D33D2D"/>
    <w:rsid w:val="00D34CC3"/>
    <w:rsid w:val="00D35CC4"/>
    <w:rsid w:val="00D3612A"/>
    <w:rsid w:val="00D36ECF"/>
    <w:rsid w:val="00D37703"/>
    <w:rsid w:val="00D37DC2"/>
    <w:rsid w:val="00D37F25"/>
    <w:rsid w:val="00D42446"/>
    <w:rsid w:val="00D431F6"/>
    <w:rsid w:val="00D43521"/>
    <w:rsid w:val="00D43649"/>
    <w:rsid w:val="00D43768"/>
    <w:rsid w:val="00D441E1"/>
    <w:rsid w:val="00D44942"/>
    <w:rsid w:val="00D44AB9"/>
    <w:rsid w:val="00D44D1A"/>
    <w:rsid w:val="00D4520B"/>
    <w:rsid w:val="00D45263"/>
    <w:rsid w:val="00D4628C"/>
    <w:rsid w:val="00D47145"/>
    <w:rsid w:val="00D50ACA"/>
    <w:rsid w:val="00D5143B"/>
    <w:rsid w:val="00D51BE8"/>
    <w:rsid w:val="00D5224F"/>
    <w:rsid w:val="00D56D1D"/>
    <w:rsid w:val="00D63C09"/>
    <w:rsid w:val="00D63CE7"/>
    <w:rsid w:val="00D63F3D"/>
    <w:rsid w:val="00D6408F"/>
    <w:rsid w:val="00D64443"/>
    <w:rsid w:val="00D6446E"/>
    <w:rsid w:val="00D644BF"/>
    <w:rsid w:val="00D652F2"/>
    <w:rsid w:val="00D65586"/>
    <w:rsid w:val="00D65CE3"/>
    <w:rsid w:val="00D673EB"/>
    <w:rsid w:val="00D710C0"/>
    <w:rsid w:val="00D72885"/>
    <w:rsid w:val="00D72C08"/>
    <w:rsid w:val="00D731D1"/>
    <w:rsid w:val="00D73C48"/>
    <w:rsid w:val="00D74501"/>
    <w:rsid w:val="00D74EEF"/>
    <w:rsid w:val="00D75846"/>
    <w:rsid w:val="00D75B25"/>
    <w:rsid w:val="00D75CF8"/>
    <w:rsid w:val="00D763D0"/>
    <w:rsid w:val="00D76C54"/>
    <w:rsid w:val="00D813D4"/>
    <w:rsid w:val="00D82B6F"/>
    <w:rsid w:val="00D82DD9"/>
    <w:rsid w:val="00D83D53"/>
    <w:rsid w:val="00D84FDC"/>
    <w:rsid w:val="00D85133"/>
    <w:rsid w:val="00D85328"/>
    <w:rsid w:val="00D854F1"/>
    <w:rsid w:val="00D855F1"/>
    <w:rsid w:val="00D8606D"/>
    <w:rsid w:val="00D86789"/>
    <w:rsid w:val="00D90B0B"/>
    <w:rsid w:val="00D90F19"/>
    <w:rsid w:val="00D91946"/>
    <w:rsid w:val="00D9460E"/>
    <w:rsid w:val="00D948BD"/>
    <w:rsid w:val="00D94B2E"/>
    <w:rsid w:val="00D95BB1"/>
    <w:rsid w:val="00D95CFA"/>
    <w:rsid w:val="00DA08A2"/>
    <w:rsid w:val="00DA1FF5"/>
    <w:rsid w:val="00DA228A"/>
    <w:rsid w:val="00DA2F5F"/>
    <w:rsid w:val="00DA34BC"/>
    <w:rsid w:val="00DA3D3C"/>
    <w:rsid w:val="00DA4815"/>
    <w:rsid w:val="00DA67C6"/>
    <w:rsid w:val="00DA68C2"/>
    <w:rsid w:val="00DA6A5A"/>
    <w:rsid w:val="00DB09CD"/>
    <w:rsid w:val="00DB1410"/>
    <w:rsid w:val="00DB3CE9"/>
    <w:rsid w:val="00DB42A8"/>
    <w:rsid w:val="00DB44ED"/>
    <w:rsid w:val="00DB48C6"/>
    <w:rsid w:val="00DB5592"/>
    <w:rsid w:val="00DB6AA0"/>
    <w:rsid w:val="00DB6F4F"/>
    <w:rsid w:val="00DB7A48"/>
    <w:rsid w:val="00DC07E0"/>
    <w:rsid w:val="00DC1247"/>
    <w:rsid w:val="00DC42F3"/>
    <w:rsid w:val="00DC5B80"/>
    <w:rsid w:val="00DC607C"/>
    <w:rsid w:val="00DC6317"/>
    <w:rsid w:val="00DD02C7"/>
    <w:rsid w:val="00DD0674"/>
    <w:rsid w:val="00DD1F90"/>
    <w:rsid w:val="00DD2AF1"/>
    <w:rsid w:val="00DD3D3D"/>
    <w:rsid w:val="00DD494D"/>
    <w:rsid w:val="00DD4D40"/>
    <w:rsid w:val="00DD67FC"/>
    <w:rsid w:val="00DE1AD7"/>
    <w:rsid w:val="00DE1F64"/>
    <w:rsid w:val="00DE2C3F"/>
    <w:rsid w:val="00DE3956"/>
    <w:rsid w:val="00DE4715"/>
    <w:rsid w:val="00DE47A2"/>
    <w:rsid w:val="00DE5077"/>
    <w:rsid w:val="00DE519C"/>
    <w:rsid w:val="00DE643F"/>
    <w:rsid w:val="00DE718D"/>
    <w:rsid w:val="00DF0C5C"/>
    <w:rsid w:val="00DF1386"/>
    <w:rsid w:val="00DF1695"/>
    <w:rsid w:val="00DF1957"/>
    <w:rsid w:val="00DF26BF"/>
    <w:rsid w:val="00DF336A"/>
    <w:rsid w:val="00DF38A7"/>
    <w:rsid w:val="00DF4E37"/>
    <w:rsid w:val="00DF58B2"/>
    <w:rsid w:val="00DF6D25"/>
    <w:rsid w:val="00DF7321"/>
    <w:rsid w:val="00DF7585"/>
    <w:rsid w:val="00E005EC"/>
    <w:rsid w:val="00E00B84"/>
    <w:rsid w:val="00E011B2"/>
    <w:rsid w:val="00E02AC7"/>
    <w:rsid w:val="00E03D9B"/>
    <w:rsid w:val="00E04573"/>
    <w:rsid w:val="00E0530E"/>
    <w:rsid w:val="00E0748A"/>
    <w:rsid w:val="00E07896"/>
    <w:rsid w:val="00E07AA1"/>
    <w:rsid w:val="00E10062"/>
    <w:rsid w:val="00E10B96"/>
    <w:rsid w:val="00E11774"/>
    <w:rsid w:val="00E11988"/>
    <w:rsid w:val="00E120B6"/>
    <w:rsid w:val="00E12115"/>
    <w:rsid w:val="00E12CED"/>
    <w:rsid w:val="00E13EF1"/>
    <w:rsid w:val="00E13F13"/>
    <w:rsid w:val="00E141E8"/>
    <w:rsid w:val="00E14607"/>
    <w:rsid w:val="00E16457"/>
    <w:rsid w:val="00E169FF"/>
    <w:rsid w:val="00E2255A"/>
    <w:rsid w:val="00E22570"/>
    <w:rsid w:val="00E225B1"/>
    <w:rsid w:val="00E23E31"/>
    <w:rsid w:val="00E243F3"/>
    <w:rsid w:val="00E24852"/>
    <w:rsid w:val="00E24CD5"/>
    <w:rsid w:val="00E260D1"/>
    <w:rsid w:val="00E26D3A"/>
    <w:rsid w:val="00E3014C"/>
    <w:rsid w:val="00E3229A"/>
    <w:rsid w:val="00E3321A"/>
    <w:rsid w:val="00E363A8"/>
    <w:rsid w:val="00E363F5"/>
    <w:rsid w:val="00E3786E"/>
    <w:rsid w:val="00E379DE"/>
    <w:rsid w:val="00E40570"/>
    <w:rsid w:val="00E4118A"/>
    <w:rsid w:val="00E4123A"/>
    <w:rsid w:val="00E4253B"/>
    <w:rsid w:val="00E44CDF"/>
    <w:rsid w:val="00E45F43"/>
    <w:rsid w:val="00E4622C"/>
    <w:rsid w:val="00E46B64"/>
    <w:rsid w:val="00E47B5C"/>
    <w:rsid w:val="00E5084C"/>
    <w:rsid w:val="00E5155C"/>
    <w:rsid w:val="00E5175F"/>
    <w:rsid w:val="00E51FFB"/>
    <w:rsid w:val="00E5266A"/>
    <w:rsid w:val="00E52DF3"/>
    <w:rsid w:val="00E54488"/>
    <w:rsid w:val="00E544CA"/>
    <w:rsid w:val="00E549CC"/>
    <w:rsid w:val="00E54CE7"/>
    <w:rsid w:val="00E55084"/>
    <w:rsid w:val="00E567B7"/>
    <w:rsid w:val="00E56D61"/>
    <w:rsid w:val="00E57EEB"/>
    <w:rsid w:val="00E57FB4"/>
    <w:rsid w:val="00E60440"/>
    <w:rsid w:val="00E6046B"/>
    <w:rsid w:val="00E616FB"/>
    <w:rsid w:val="00E625FD"/>
    <w:rsid w:val="00E62E05"/>
    <w:rsid w:val="00E62F79"/>
    <w:rsid w:val="00E641CF"/>
    <w:rsid w:val="00E649E6"/>
    <w:rsid w:val="00E64F03"/>
    <w:rsid w:val="00E6580C"/>
    <w:rsid w:val="00E65D96"/>
    <w:rsid w:val="00E667F1"/>
    <w:rsid w:val="00E67414"/>
    <w:rsid w:val="00E729D1"/>
    <w:rsid w:val="00E73422"/>
    <w:rsid w:val="00E7528E"/>
    <w:rsid w:val="00E75FC1"/>
    <w:rsid w:val="00E7696C"/>
    <w:rsid w:val="00E76D6F"/>
    <w:rsid w:val="00E77F68"/>
    <w:rsid w:val="00E804BD"/>
    <w:rsid w:val="00E805C4"/>
    <w:rsid w:val="00E81AE6"/>
    <w:rsid w:val="00E83219"/>
    <w:rsid w:val="00E840C6"/>
    <w:rsid w:val="00E848AF"/>
    <w:rsid w:val="00E84BEF"/>
    <w:rsid w:val="00E850E8"/>
    <w:rsid w:val="00E90782"/>
    <w:rsid w:val="00E90C31"/>
    <w:rsid w:val="00E90F9E"/>
    <w:rsid w:val="00E9114A"/>
    <w:rsid w:val="00E9247D"/>
    <w:rsid w:val="00E9431B"/>
    <w:rsid w:val="00E946C7"/>
    <w:rsid w:val="00E95185"/>
    <w:rsid w:val="00E9559D"/>
    <w:rsid w:val="00E96338"/>
    <w:rsid w:val="00E96648"/>
    <w:rsid w:val="00E96A3C"/>
    <w:rsid w:val="00E96F7E"/>
    <w:rsid w:val="00E975D0"/>
    <w:rsid w:val="00EA4677"/>
    <w:rsid w:val="00EA4D35"/>
    <w:rsid w:val="00EA5B83"/>
    <w:rsid w:val="00EA662C"/>
    <w:rsid w:val="00EA6ED9"/>
    <w:rsid w:val="00EB0873"/>
    <w:rsid w:val="00EB0F20"/>
    <w:rsid w:val="00EB1952"/>
    <w:rsid w:val="00EB1DDC"/>
    <w:rsid w:val="00EB2A8B"/>
    <w:rsid w:val="00EB395D"/>
    <w:rsid w:val="00EB51FC"/>
    <w:rsid w:val="00EB5587"/>
    <w:rsid w:val="00EB5CEC"/>
    <w:rsid w:val="00EB5FAF"/>
    <w:rsid w:val="00EB67ED"/>
    <w:rsid w:val="00EC0AC1"/>
    <w:rsid w:val="00EC1D67"/>
    <w:rsid w:val="00EC2158"/>
    <w:rsid w:val="00EC257F"/>
    <w:rsid w:val="00EC2CA6"/>
    <w:rsid w:val="00EC429B"/>
    <w:rsid w:val="00EC4F92"/>
    <w:rsid w:val="00EC51BF"/>
    <w:rsid w:val="00EC61FD"/>
    <w:rsid w:val="00ED0178"/>
    <w:rsid w:val="00ED0D63"/>
    <w:rsid w:val="00ED0E9D"/>
    <w:rsid w:val="00ED102A"/>
    <w:rsid w:val="00ED1746"/>
    <w:rsid w:val="00ED1F19"/>
    <w:rsid w:val="00ED32B1"/>
    <w:rsid w:val="00ED3738"/>
    <w:rsid w:val="00ED5F2F"/>
    <w:rsid w:val="00ED6824"/>
    <w:rsid w:val="00ED6F26"/>
    <w:rsid w:val="00ED7188"/>
    <w:rsid w:val="00ED7AFA"/>
    <w:rsid w:val="00EE0563"/>
    <w:rsid w:val="00EE212A"/>
    <w:rsid w:val="00EE31F4"/>
    <w:rsid w:val="00EE365F"/>
    <w:rsid w:val="00EE3E79"/>
    <w:rsid w:val="00EE4A25"/>
    <w:rsid w:val="00EE619B"/>
    <w:rsid w:val="00EE63EC"/>
    <w:rsid w:val="00EE7ABF"/>
    <w:rsid w:val="00EF2E2E"/>
    <w:rsid w:val="00EF3212"/>
    <w:rsid w:val="00EF39F6"/>
    <w:rsid w:val="00EF494E"/>
    <w:rsid w:val="00EF7581"/>
    <w:rsid w:val="00EF7E00"/>
    <w:rsid w:val="00F0036B"/>
    <w:rsid w:val="00F012E6"/>
    <w:rsid w:val="00F02310"/>
    <w:rsid w:val="00F029C0"/>
    <w:rsid w:val="00F02E58"/>
    <w:rsid w:val="00F0358E"/>
    <w:rsid w:val="00F03BB2"/>
    <w:rsid w:val="00F03C05"/>
    <w:rsid w:val="00F03E5C"/>
    <w:rsid w:val="00F04423"/>
    <w:rsid w:val="00F062CF"/>
    <w:rsid w:val="00F1003F"/>
    <w:rsid w:val="00F103EC"/>
    <w:rsid w:val="00F10511"/>
    <w:rsid w:val="00F110E6"/>
    <w:rsid w:val="00F12712"/>
    <w:rsid w:val="00F13D3D"/>
    <w:rsid w:val="00F14937"/>
    <w:rsid w:val="00F15274"/>
    <w:rsid w:val="00F154D9"/>
    <w:rsid w:val="00F15D16"/>
    <w:rsid w:val="00F16B04"/>
    <w:rsid w:val="00F175F0"/>
    <w:rsid w:val="00F2029D"/>
    <w:rsid w:val="00F20C8F"/>
    <w:rsid w:val="00F21EB3"/>
    <w:rsid w:val="00F2260C"/>
    <w:rsid w:val="00F22DE5"/>
    <w:rsid w:val="00F230EC"/>
    <w:rsid w:val="00F23156"/>
    <w:rsid w:val="00F23B08"/>
    <w:rsid w:val="00F2503E"/>
    <w:rsid w:val="00F257F4"/>
    <w:rsid w:val="00F25F26"/>
    <w:rsid w:val="00F263E2"/>
    <w:rsid w:val="00F268D9"/>
    <w:rsid w:val="00F26A9F"/>
    <w:rsid w:val="00F27845"/>
    <w:rsid w:val="00F27D88"/>
    <w:rsid w:val="00F30237"/>
    <w:rsid w:val="00F3065F"/>
    <w:rsid w:val="00F30B71"/>
    <w:rsid w:val="00F30F89"/>
    <w:rsid w:val="00F31A64"/>
    <w:rsid w:val="00F31C8B"/>
    <w:rsid w:val="00F32F28"/>
    <w:rsid w:val="00F33670"/>
    <w:rsid w:val="00F33CC7"/>
    <w:rsid w:val="00F34169"/>
    <w:rsid w:val="00F34A94"/>
    <w:rsid w:val="00F34B30"/>
    <w:rsid w:val="00F35283"/>
    <w:rsid w:val="00F3732E"/>
    <w:rsid w:val="00F37B41"/>
    <w:rsid w:val="00F404AB"/>
    <w:rsid w:val="00F4084F"/>
    <w:rsid w:val="00F411FF"/>
    <w:rsid w:val="00F425CF"/>
    <w:rsid w:val="00F4278B"/>
    <w:rsid w:val="00F42900"/>
    <w:rsid w:val="00F436AB"/>
    <w:rsid w:val="00F43943"/>
    <w:rsid w:val="00F43CF6"/>
    <w:rsid w:val="00F442ED"/>
    <w:rsid w:val="00F46005"/>
    <w:rsid w:val="00F46805"/>
    <w:rsid w:val="00F46CE9"/>
    <w:rsid w:val="00F47535"/>
    <w:rsid w:val="00F47E0E"/>
    <w:rsid w:val="00F47E31"/>
    <w:rsid w:val="00F5369A"/>
    <w:rsid w:val="00F53A92"/>
    <w:rsid w:val="00F55A82"/>
    <w:rsid w:val="00F56177"/>
    <w:rsid w:val="00F566DE"/>
    <w:rsid w:val="00F56FC0"/>
    <w:rsid w:val="00F57A34"/>
    <w:rsid w:val="00F6030B"/>
    <w:rsid w:val="00F60B1C"/>
    <w:rsid w:val="00F60E4C"/>
    <w:rsid w:val="00F61D2F"/>
    <w:rsid w:val="00F63A41"/>
    <w:rsid w:val="00F65574"/>
    <w:rsid w:val="00F6639B"/>
    <w:rsid w:val="00F67752"/>
    <w:rsid w:val="00F7115B"/>
    <w:rsid w:val="00F7169C"/>
    <w:rsid w:val="00F72B01"/>
    <w:rsid w:val="00F73D24"/>
    <w:rsid w:val="00F75EF1"/>
    <w:rsid w:val="00F76E00"/>
    <w:rsid w:val="00F77C00"/>
    <w:rsid w:val="00F80DC2"/>
    <w:rsid w:val="00F8124C"/>
    <w:rsid w:val="00F81A74"/>
    <w:rsid w:val="00F820D7"/>
    <w:rsid w:val="00F8230D"/>
    <w:rsid w:val="00F82A7F"/>
    <w:rsid w:val="00F82EEC"/>
    <w:rsid w:val="00F844B5"/>
    <w:rsid w:val="00F8571A"/>
    <w:rsid w:val="00F87523"/>
    <w:rsid w:val="00F9052E"/>
    <w:rsid w:val="00F91FA2"/>
    <w:rsid w:val="00F9297C"/>
    <w:rsid w:val="00F92F21"/>
    <w:rsid w:val="00F934F6"/>
    <w:rsid w:val="00F9355A"/>
    <w:rsid w:val="00F935BF"/>
    <w:rsid w:val="00F93C2E"/>
    <w:rsid w:val="00F94355"/>
    <w:rsid w:val="00F96053"/>
    <w:rsid w:val="00F9607E"/>
    <w:rsid w:val="00F9647D"/>
    <w:rsid w:val="00FA0FCE"/>
    <w:rsid w:val="00FA1443"/>
    <w:rsid w:val="00FA26A5"/>
    <w:rsid w:val="00FA29A6"/>
    <w:rsid w:val="00FA3E0D"/>
    <w:rsid w:val="00FA45B8"/>
    <w:rsid w:val="00FA4B22"/>
    <w:rsid w:val="00FA59E4"/>
    <w:rsid w:val="00FA6516"/>
    <w:rsid w:val="00FA7303"/>
    <w:rsid w:val="00FA74BB"/>
    <w:rsid w:val="00FB1EB1"/>
    <w:rsid w:val="00FB2205"/>
    <w:rsid w:val="00FB2DF9"/>
    <w:rsid w:val="00FB317E"/>
    <w:rsid w:val="00FB3A1D"/>
    <w:rsid w:val="00FB3B0A"/>
    <w:rsid w:val="00FB3CDD"/>
    <w:rsid w:val="00FB48A9"/>
    <w:rsid w:val="00FB518D"/>
    <w:rsid w:val="00FB6CBF"/>
    <w:rsid w:val="00FB7858"/>
    <w:rsid w:val="00FB7B10"/>
    <w:rsid w:val="00FB7F88"/>
    <w:rsid w:val="00FC2893"/>
    <w:rsid w:val="00FC2AF1"/>
    <w:rsid w:val="00FC6449"/>
    <w:rsid w:val="00FC6BA7"/>
    <w:rsid w:val="00FD0200"/>
    <w:rsid w:val="00FD0B3D"/>
    <w:rsid w:val="00FD0CE4"/>
    <w:rsid w:val="00FD17B1"/>
    <w:rsid w:val="00FD183F"/>
    <w:rsid w:val="00FD1B37"/>
    <w:rsid w:val="00FD20DE"/>
    <w:rsid w:val="00FD54CD"/>
    <w:rsid w:val="00FD6124"/>
    <w:rsid w:val="00FD61DC"/>
    <w:rsid w:val="00FD684D"/>
    <w:rsid w:val="00FE0590"/>
    <w:rsid w:val="00FE060E"/>
    <w:rsid w:val="00FE2ED9"/>
    <w:rsid w:val="00FE32D0"/>
    <w:rsid w:val="00FE3874"/>
    <w:rsid w:val="00FE4DBA"/>
    <w:rsid w:val="00FE582D"/>
    <w:rsid w:val="00FE67B3"/>
    <w:rsid w:val="00FE6826"/>
    <w:rsid w:val="00FE6A34"/>
    <w:rsid w:val="00FF0554"/>
    <w:rsid w:val="00FF0659"/>
    <w:rsid w:val="00FF248F"/>
    <w:rsid w:val="00FF294A"/>
    <w:rsid w:val="00FF4C3B"/>
    <w:rsid w:val="00FF504D"/>
    <w:rsid w:val="00FF57A9"/>
    <w:rsid w:val="00FF5AFF"/>
    <w:rsid w:val="00FF5C64"/>
    <w:rsid w:val="00FF66EC"/>
    <w:rsid w:val="00FF71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1B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09F"/>
    <w:rPr>
      <w:sz w:val="24"/>
      <w:szCs w:val="24"/>
    </w:rPr>
  </w:style>
  <w:style w:type="paragraph" w:styleId="Heading1">
    <w:name w:val="heading 1"/>
    <w:basedOn w:val="Normal"/>
    <w:next w:val="NICEnormal"/>
    <w:link w:val="Heading1Char"/>
    <w:uiPriority w:val="1"/>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uiPriority w:val="2"/>
    <w:qFormat/>
    <w:rsid w:val="00B01935"/>
    <w:pPr>
      <w:keepNext/>
      <w:tabs>
        <w:tab w:val="left" w:pos="1134"/>
      </w:tabs>
      <w:spacing w:before="240" w:after="60" w:line="360" w:lineRule="auto"/>
      <w:outlineLvl w:val="1"/>
    </w:pPr>
    <w:rPr>
      <w:rFonts w:ascii="Arial" w:hAnsi="Arial" w:cs="Arial"/>
      <w:b/>
      <w:bCs/>
      <w:iCs/>
      <w:sz w:val="28"/>
      <w:szCs w:val="28"/>
    </w:rPr>
  </w:style>
  <w:style w:type="paragraph" w:styleId="Heading3">
    <w:name w:val="heading 3"/>
    <w:basedOn w:val="Normal"/>
    <w:next w:val="NICEnormal"/>
    <w:link w:val="Heading3Char"/>
    <w:uiPriority w:val="3"/>
    <w:qFormat/>
    <w:rsid w:val="004C27E4"/>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F46805"/>
    <w:pPr>
      <w:keepNext/>
      <w:spacing w:before="240" w:after="60" w:line="360" w:lineRule="auto"/>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basedOn w:val="Normal"/>
    <w:link w:val="NICEnormalChar"/>
    <w:qFormat/>
    <w:rsid w:val="007638A5"/>
    <w:pPr>
      <w:spacing w:after="240" w:line="360" w:lineRule="auto"/>
    </w:pPr>
    <w:rPr>
      <w:rFonts w:ascii="Arial" w:hAnsi="Arial"/>
      <w:lang w:eastAsia="en-US"/>
    </w:rPr>
  </w:style>
  <w:style w:type="character" w:customStyle="1" w:styleId="NICEnormalChar">
    <w:name w:val="NICE normal Char"/>
    <w:link w:val="NICEnormal"/>
    <w:rsid w:val="00F33670"/>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uiPriority w:val="2"/>
    <w:rsid w:val="00B01935"/>
    <w:rPr>
      <w:rFonts w:ascii="Arial" w:hAnsi="Arial" w:cs="Arial"/>
      <w:b/>
      <w:bCs/>
      <w:iCs/>
      <w:sz w:val="28"/>
      <w:szCs w:val="28"/>
    </w:rPr>
  </w:style>
  <w:style w:type="table" w:styleId="TableGrid">
    <w:name w:val="Table Grid"/>
    <w:basedOn w:val="TableNormal"/>
    <w:rsid w:val="0098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ormal"/>
    <w:rsid w:val="00981B9F"/>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autoRedefine/>
    <w:qFormat/>
    <w:rsid w:val="001A656A"/>
    <w:pPr>
      <w:numPr>
        <w:numId w:val="8"/>
      </w:numPr>
    </w:pPr>
    <w:rPr>
      <w:szCs w:val="24"/>
    </w:rPr>
  </w:style>
  <w:style w:type="character" w:customStyle="1" w:styleId="Numberedheading1CharChar">
    <w:name w:val="Numbered heading 1 Char Char"/>
    <w:link w:val="Numberedheading1"/>
    <w:rsid w:val="001A656A"/>
    <w:rPr>
      <w:rFonts w:ascii="Arial" w:hAnsi="Arial" w:cs="Arial"/>
      <w:b/>
      <w:bCs/>
      <w:kern w:val="32"/>
      <w:sz w:val="32"/>
      <w:szCs w:val="24"/>
      <w:lang w:val="en-U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58344A"/>
    <w:pPr>
      <w:numPr>
        <w:numId w:val="12"/>
      </w:numPr>
      <w:spacing w:after="0"/>
    </w:pPr>
  </w:style>
  <w:style w:type="paragraph" w:customStyle="1" w:styleId="Bulletleft2">
    <w:name w:val="Bullet left 2"/>
    <w:basedOn w:val="NICEnormal"/>
    <w:rsid w:val="008505C3"/>
    <w:pPr>
      <w:numPr>
        <w:ilvl w:val="1"/>
        <w:numId w:val="1"/>
      </w:numPr>
      <w:spacing w:after="0"/>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link w:val="Bulletindent1Char"/>
    <w:rsid w:val="00D3612A"/>
    <w:pPr>
      <w:numPr>
        <w:numId w:val="5"/>
      </w:numPr>
      <w:spacing w:after="0"/>
    </w:pPr>
    <w:rPr>
      <w:lang w:val="x-none"/>
    </w:rPr>
  </w:style>
  <w:style w:type="character" w:customStyle="1" w:styleId="Bulletindent1Char">
    <w:name w:val="Bullet indent 1 Char"/>
    <w:link w:val="Bulletindent1"/>
    <w:rsid w:val="006714D2"/>
    <w:rPr>
      <w:rFonts w:ascii="Arial" w:hAnsi="Arial"/>
      <w:sz w:val="24"/>
      <w:szCs w:val="24"/>
      <w:lang w:val="x-none" w:eastAsia="en-US"/>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ormal"/>
    <w:link w:val="Numberedlevel2textChar"/>
    <w:qFormat/>
    <w:rsid w:val="00981B9F"/>
    <w:pPr>
      <w:numPr>
        <w:ilvl w:val="1"/>
        <w:numId w:val="8"/>
      </w:numPr>
      <w:spacing w:after="240" w:line="360" w:lineRule="auto"/>
    </w:pPr>
    <w:rPr>
      <w:rFonts w:ascii="Arial" w:hAnsi="Arial"/>
      <w:bCs/>
      <w:iCs/>
      <w:szCs w:val="28"/>
      <w:lang w:val="x-none"/>
    </w:rPr>
  </w:style>
  <w:style w:type="character" w:customStyle="1" w:styleId="Numberedlevel2textChar">
    <w:name w:val="Numbered level 2 text Char"/>
    <w:link w:val="Numberedlevel2text"/>
    <w:rsid w:val="00611951"/>
    <w:rPr>
      <w:rFonts w:ascii="Arial" w:hAnsi="Arial"/>
      <w:bCs/>
      <w:iCs/>
      <w:sz w:val="24"/>
      <w:szCs w:val="28"/>
      <w:lang w:val="x-none"/>
    </w:rPr>
  </w:style>
  <w:style w:type="paragraph" w:customStyle="1" w:styleId="Bulletleft1last">
    <w:name w:val="Bullet left 1 last"/>
    <w:basedOn w:val="NICEnormal"/>
    <w:link w:val="Bulletleft1lastChar"/>
    <w:rsid w:val="00953ADF"/>
    <w:pPr>
      <w:numPr>
        <w:numId w:val="6"/>
      </w:numPr>
    </w:pPr>
    <w:rPr>
      <w:rFonts w:cs="Arial"/>
    </w:rPr>
  </w:style>
  <w:style w:type="paragraph" w:styleId="Header">
    <w:name w:val="header"/>
    <w:basedOn w:val="Normal"/>
    <w:link w:val="HeaderChar"/>
    <w:uiPriority w:val="99"/>
    <w:rsid w:val="00BE7E2E"/>
    <w:pPr>
      <w:tabs>
        <w:tab w:val="center" w:pos="4153"/>
        <w:tab w:val="right" w:pos="8306"/>
      </w:tabs>
      <w:spacing w:after="240"/>
    </w:pPr>
    <w:rPr>
      <w:rFonts w:ascii="Arial" w:hAnsi="Arial"/>
      <w:lang w:eastAsia="en-US"/>
    </w:rPr>
  </w:style>
  <w:style w:type="paragraph" w:styleId="Footer">
    <w:name w:val="footer"/>
    <w:basedOn w:val="Normal"/>
    <w:link w:val="FooterChar"/>
    <w:uiPriority w:val="99"/>
    <w:rsid w:val="00BE7E2E"/>
    <w:pPr>
      <w:tabs>
        <w:tab w:val="center" w:pos="4153"/>
        <w:tab w:val="right" w:pos="8306"/>
      </w:tabs>
      <w:spacing w:before="240"/>
    </w:pPr>
    <w:rPr>
      <w:rFonts w:ascii="Arial" w:hAnsi="Arial"/>
      <w:lang w:eastAsia="en-US"/>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7"/>
      </w:numPr>
    </w:pPr>
  </w:style>
  <w:style w:type="character" w:customStyle="1" w:styleId="CommentTextChar">
    <w:name w:val="Comment Text Char"/>
    <w:link w:val="CommentText"/>
    <w:rsid w:val="000A1888"/>
    <w:rPr>
      <w:lang w:eastAsia="en-US"/>
    </w:rPr>
  </w:style>
  <w:style w:type="paragraph" w:customStyle="1" w:styleId="Tabletext">
    <w:name w:val="Table text"/>
    <w:basedOn w:val="Normal"/>
    <w:rsid w:val="00BE7E2E"/>
    <w:pPr>
      <w:spacing w:after="60"/>
    </w:pPr>
    <w:rPr>
      <w:rFonts w:ascii="Arial" w:hAnsi="Arial"/>
      <w:sz w:val="22"/>
      <w:lang w:eastAsia="en-US"/>
    </w:rPr>
  </w:style>
  <w:style w:type="character" w:styleId="Hyperlink">
    <w:name w:val="Hyperlink"/>
    <w:uiPriority w:val="99"/>
    <w:rsid w:val="00AE1B68"/>
    <w:rPr>
      <w:color w:val="0000FF"/>
      <w:u w:val="single"/>
    </w:rPr>
  </w:style>
  <w:style w:type="paragraph" w:styleId="BalloonText">
    <w:name w:val="Balloon Text"/>
    <w:basedOn w:val="Normal"/>
    <w:link w:val="BalloonTextChar"/>
    <w:semiHidden/>
    <w:rsid w:val="00874BA9"/>
    <w:rPr>
      <w:rFonts w:ascii="Tahoma" w:hAnsi="Tahoma" w:cs="Tahoma"/>
      <w:sz w:val="16"/>
      <w:szCs w:val="16"/>
    </w:rPr>
  </w:style>
  <w:style w:type="character" w:styleId="CommentReference">
    <w:name w:val="annotation reference"/>
    <w:rsid w:val="00CD3174"/>
    <w:rPr>
      <w:sz w:val="16"/>
      <w:szCs w:val="16"/>
    </w:rPr>
  </w:style>
  <w:style w:type="paragraph" w:styleId="CommentText">
    <w:name w:val="annotation text"/>
    <w:basedOn w:val="Normal"/>
    <w:link w:val="CommentTextChar"/>
    <w:rsid w:val="00CD3174"/>
    <w:rPr>
      <w:sz w:val="20"/>
      <w:szCs w:val="20"/>
    </w:rPr>
  </w:style>
  <w:style w:type="paragraph" w:styleId="CommentSubject">
    <w:name w:val="annotation subject"/>
    <w:basedOn w:val="CommentText"/>
    <w:next w:val="CommentText"/>
    <w:link w:val="CommentSubjectChar"/>
    <w:semiHidden/>
    <w:rsid w:val="00CD3174"/>
    <w:rPr>
      <w:b/>
      <w:bCs/>
    </w:rPr>
  </w:style>
  <w:style w:type="paragraph" w:customStyle="1" w:styleId="Title1">
    <w:name w:val="Title 1"/>
    <w:basedOn w:val="Normal"/>
    <w:qFormat/>
    <w:rsid w:val="00981B9F"/>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BB7835"/>
    <w:rPr>
      <w:lang w:val="en-US"/>
    </w:rPr>
  </w:style>
  <w:style w:type="paragraph" w:customStyle="1" w:styleId="Documentissuedate">
    <w:name w:val="Document issue date"/>
    <w:basedOn w:val="NICEnormal"/>
    <w:qFormat/>
    <w:rsid w:val="00BB7835"/>
    <w:rPr>
      <w:lang w:val="en-US"/>
    </w:rPr>
  </w:style>
  <w:style w:type="character" w:styleId="FollowedHyperlink">
    <w:name w:val="FollowedHyperlink"/>
    <w:rsid w:val="00E24CD5"/>
    <w:rPr>
      <w:color w:val="800080"/>
      <w:u w:val="single"/>
    </w:rPr>
  </w:style>
  <w:style w:type="character" w:customStyle="1" w:styleId="Bulletleft1lastChar">
    <w:name w:val="Bullet left 1 last Char"/>
    <w:link w:val="Bulletleft1last"/>
    <w:rsid w:val="006E210A"/>
    <w:rPr>
      <w:rFonts w:ascii="Arial" w:hAnsi="Arial" w:cs="Arial"/>
      <w:sz w:val="24"/>
      <w:szCs w:val="24"/>
      <w:lang w:eastAsia="en-US"/>
    </w:rPr>
  </w:style>
  <w:style w:type="paragraph" w:styleId="FootnoteText">
    <w:name w:val="footnote text"/>
    <w:basedOn w:val="Normal"/>
    <w:link w:val="FootnoteTextChar"/>
    <w:rsid w:val="00FA45B8"/>
    <w:rPr>
      <w:sz w:val="20"/>
      <w:szCs w:val="20"/>
    </w:rPr>
  </w:style>
  <w:style w:type="character" w:customStyle="1" w:styleId="FootnoteTextChar">
    <w:name w:val="Footnote Text Char"/>
    <w:link w:val="FootnoteText"/>
    <w:rsid w:val="00FA45B8"/>
    <w:rPr>
      <w:lang w:eastAsia="en-US"/>
    </w:rPr>
  </w:style>
  <w:style w:type="character" w:styleId="FootnoteReference">
    <w:name w:val="footnote reference"/>
    <w:rsid w:val="00FA45B8"/>
    <w:rPr>
      <w:vertAlign w:val="superscript"/>
    </w:rPr>
  </w:style>
  <w:style w:type="paragraph" w:styleId="Revision">
    <w:name w:val="Revision"/>
    <w:hidden/>
    <w:uiPriority w:val="99"/>
    <w:semiHidden/>
    <w:rsid w:val="00B51F04"/>
    <w:rPr>
      <w:sz w:val="24"/>
      <w:szCs w:val="24"/>
      <w:lang w:eastAsia="en-US"/>
    </w:rPr>
  </w:style>
  <w:style w:type="paragraph" w:customStyle="1" w:styleId="Paragraph">
    <w:name w:val="Paragraph"/>
    <w:basedOn w:val="Normal"/>
    <w:uiPriority w:val="4"/>
    <w:qFormat/>
    <w:rsid w:val="007638A5"/>
    <w:pPr>
      <w:numPr>
        <w:numId w:val="11"/>
      </w:numPr>
      <w:tabs>
        <w:tab w:val="left" w:pos="567"/>
      </w:tabs>
      <w:spacing w:after="240" w:line="276" w:lineRule="auto"/>
      <w:ind w:left="567" w:hanging="501"/>
    </w:pPr>
    <w:rPr>
      <w:rFonts w:ascii="Arial" w:hAnsi="Arial"/>
    </w:rPr>
  </w:style>
  <w:style w:type="paragraph" w:styleId="Title">
    <w:name w:val="Title"/>
    <w:basedOn w:val="Normal"/>
    <w:next w:val="Heading1"/>
    <w:link w:val="TitleChar"/>
    <w:qFormat/>
    <w:rsid w:val="00AF37B3"/>
    <w:pPr>
      <w:spacing w:before="120" w:after="120"/>
      <w:jc w:val="center"/>
      <w:outlineLvl w:val="0"/>
    </w:pPr>
    <w:rPr>
      <w:rFonts w:ascii="Arial" w:hAnsi="Arial"/>
      <w:b/>
      <w:bCs/>
      <w:kern w:val="28"/>
      <w:sz w:val="32"/>
      <w:szCs w:val="32"/>
    </w:rPr>
  </w:style>
  <w:style w:type="character" w:customStyle="1" w:styleId="TitleChar">
    <w:name w:val="Title Char"/>
    <w:basedOn w:val="DefaultParagraphFont"/>
    <w:link w:val="Title"/>
    <w:rsid w:val="00AF37B3"/>
    <w:rPr>
      <w:rFonts w:ascii="Arial" w:hAnsi="Arial"/>
      <w:b/>
      <w:bCs/>
      <w:kern w:val="28"/>
      <w:sz w:val="32"/>
      <w:szCs w:val="32"/>
    </w:rPr>
  </w:style>
  <w:style w:type="paragraph" w:customStyle="1" w:styleId="Bullets">
    <w:name w:val="Bullets"/>
    <w:basedOn w:val="Normal"/>
    <w:uiPriority w:val="5"/>
    <w:qFormat/>
    <w:rsid w:val="00AF37B3"/>
    <w:pPr>
      <w:numPr>
        <w:numId w:val="9"/>
      </w:numPr>
      <w:spacing w:after="120" w:line="276" w:lineRule="auto"/>
    </w:pPr>
    <w:rPr>
      <w:rFonts w:ascii="Arial" w:hAnsi="Arial"/>
    </w:rPr>
  </w:style>
  <w:style w:type="character" w:customStyle="1" w:styleId="HeaderChar">
    <w:name w:val="Header Char"/>
    <w:link w:val="Header"/>
    <w:uiPriority w:val="99"/>
    <w:rsid w:val="00AF37B3"/>
    <w:rPr>
      <w:rFonts w:ascii="Arial" w:hAnsi="Arial"/>
      <w:sz w:val="24"/>
      <w:szCs w:val="24"/>
      <w:lang w:eastAsia="en-US"/>
    </w:rPr>
  </w:style>
  <w:style w:type="character" w:customStyle="1" w:styleId="FooterChar">
    <w:name w:val="Footer Char"/>
    <w:link w:val="Footer"/>
    <w:uiPriority w:val="99"/>
    <w:rsid w:val="00AF37B3"/>
    <w:rPr>
      <w:rFonts w:ascii="Arial" w:hAnsi="Arial"/>
      <w:sz w:val="24"/>
      <w:szCs w:val="24"/>
      <w:lang w:eastAsia="en-US"/>
    </w:rPr>
  </w:style>
  <w:style w:type="character" w:customStyle="1" w:styleId="BalloonTextChar">
    <w:name w:val="Balloon Text Char"/>
    <w:link w:val="BalloonText"/>
    <w:semiHidden/>
    <w:rsid w:val="00AF37B3"/>
    <w:rPr>
      <w:rFonts w:ascii="Tahoma" w:hAnsi="Tahoma" w:cs="Tahoma"/>
      <w:sz w:val="16"/>
      <w:szCs w:val="16"/>
      <w:lang w:eastAsia="en-US"/>
    </w:rPr>
  </w:style>
  <w:style w:type="character" w:customStyle="1" w:styleId="Heading3Char">
    <w:name w:val="Heading 3 Char"/>
    <w:link w:val="Heading3"/>
    <w:uiPriority w:val="3"/>
    <w:rsid w:val="004C27E4"/>
    <w:rPr>
      <w:rFonts w:ascii="Arial" w:hAnsi="Arial" w:cs="Arial"/>
      <w:b/>
      <w:bCs/>
      <w:sz w:val="26"/>
      <w:szCs w:val="24"/>
    </w:rPr>
  </w:style>
  <w:style w:type="paragraph" w:customStyle="1" w:styleId="Subbullets">
    <w:name w:val="Sub bullets"/>
    <w:basedOn w:val="Normal"/>
    <w:uiPriority w:val="6"/>
    <w:qFormat/>
    <w:rsid w:val="00AF37B3"/>
    <w:pPr>
      <w:numPr>
        <w:numId w:val="10"/>
      </w:numPr>
      <w:spacing w:after="120" w:line="276" w:lineRule="auto"/>
      <w:ind w:left="1418" w:hanging="284"/>
    </w:pPr>
    <w:rPr>
      <w:rFonts w:ascii="Arial" w:hAnsi="Arial"/>
    </w:rPr>
  </w:style>
  <w:style w:type="paragraph" w:styleId="TOC1">
    <w:name w:val="toc 1"/>
    <w:basedOn w:val="Normal"/>
    <w:next w:val="Normal"/>
    <w:autoRedefine/>
    <w:uiPriority w:val="39"/>
    <w:rsid w:val="00AF37B3"/>
    <w:rPr>
      <w:rFonts w:ascii="Arial" w:hAnsi="Arial"/>
    </w:rPr>
  </w:style>
  <w:style w:type="paragraph" w:styleId="TOC2">
    <w:name w:val="toc 2"/>
    <w:basedOn w:val="Normal"/>
    <w:next w:val="Normal"/>
    <w:autoRedefine/>
    <w:uiPriority w:val="39"/>
    <w:rsid w:val="00AF37B3"/>
    <w:pPr>
      <w:ind w:left="240"/>
    </w:pPr>
    <w:rPr>
      <w:rFonts w:ascii="Arial" w:hAnsi="Arial"/>
    </w:rPr>
  </w:style>
  <w:style w:type="paragraph" w:styleId="TOC3">
    <w:name w:val="toc 3"/>
    <w:basedOn w:val="Normal"/>
    <w:next w:val="Normal"/>
    <w:autoRedefine/>
    <w:uiPriority w:val="39"/>
    <w:rsid w:val="00AF37B3"/>
    <w:pPr>
      <w:ind w:left="480"/>
    </w:pPr>
    <w:rPr>
      <w:rFonts w:ascii="Arial" w:hAnsi="Arial"/>
    </w:rPr>
  </w:style>
  <w:style w:type="paragraph" w:styleId="TOC4">
    <w:name w:val="toc 4"/>
    <w:basedOn w:val="Normal"/>
    <w:next w:val="Normal"/>
    <w:autoRedefine/>
    <w:rsid w:val="00AF37B3"/>
    <w:pPr>
      <w:ind w:left="720"/>
    </w:pPr>
    <w:rPr>
      <w:rFonts w:ascii="Arial" w:hAnsi="Arial"/>
    </w:rPr>
  </w:style>
  <w:style w:type="table" w:customStyle="1" w:styleId="PlainTable11">
    <w:name w:val="Plain Table 11"/>
    <w:basedOn w:val="TableNormal"/>
    <w:uiPriority w:val="41"/>
    <w:rsid w:val="00AF37B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mmentSubjectChar">
    <w:name w:val="Comment Subject Char"/>
    <w:link w:val="CommentSubject"/>
    <w:semiHidden/>
    <w:rsid w:val="00AF37B3"/>
    <w:rPr>
      <w:b/>
      <w:bCs/>
      <w:lang w:eastAsia="en-US"/>
    </w:rPr>
  </w:style>
  <w:style w:type="table" w:customStyle="1" w:styleId="GridTable41">
    <w:name w:val="Grid Table 41"/>
    <w:basedOn w:val="TableNormal"/>
    <w:uiPriority w:val="49"/>
    <w:rsid w:val="00AF37B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
    <w:name w:val="Table Grid Light1"/>
    <w:basedOn w:val="TableNormal"/>
    <w:uiPriority w:val="40"/>
    <w:rsid w:val="00AF37B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trong">
    <w:name w:val="Strong"/>
    <w:uiPriority w:val="22"/>
    <w:qFormat/>
    <w:rsid w:val="00AF37B3"/>
    <w:rPr>
      <w:b/>
      <w:bCs/>
    </w:rPr>
  </w:style>
  <w:style w:type="paragraph" w:customStyle="1" w:styleId="Default">
    <w:name w:val="Default"/>
    <w:rsid w:val="00AF37B3"/>
    <w:pPr>
      <w:autoSpaceDE w:val="0"/>
      <w:autoSpaceDN w:val="0"/>
      <w:adjustRightInd w:val="0"/>
    </w:pPr>
    <w:rPr>
      <w:rFonts w:ascii="Arial" w:hAnsi="Arial" w:cs="Arial"/>
      <w:color w:val="000000"/>
      <w:sz w:val="24"/>
      <w:szCs w:val="24"/>
    </w:rPr>
  </w:style>
  <w:style w:type="character" w:styleId="Emphasis">
    <w:name w:val="Emphasis"/>
    <w:uiPriority w:val="20"/>
    <w:qFormat/>
    <w:rsid w:val="00AF37B3"/>
    <w:rPr>
      <w:i/>
      <w:iCs/>
    </w:rPr>
  </w:style>
  <w:style w:type="paragraph" w:styleId="Caption">
    <w:name w:val="caption"/>
    <w:basedOn w:val="Normal"/>
    <w:next w:val="Normal"/>
    <w:unhideWhenUsed/>
    <w:qFormat/>
    <w:rsid w:val="007A0EBC"/>
    <w:pPr>
      <w:keepNext/>
      <w:spacing w:before="240" w:after="120" w:line="360" w:lineRule="auto"/>
    </w:pPr>
    <w:rPr>
      <w:rFonts w:ascii="Arial" w:hAnsi="Arial"/>
      <w:b/>
      <w:bCs/>
      <w:iCs/>
      <w:szCs w:val="18"/>
      <w:lang w:eastAsia="en-US"/>
    </w:rPr>
  </w:style>
  <w:style w:type="character" w:customStyle="1" w:styleId="UnresolvedMention1">
    <w:name w:val="Unresolved Mention1"/>
    <w:basedOn w:val="DefaultParagraphFont"/>
    <w:uiPriority w:val="99"/>
    <w:semiHidden/>
    <w:unhideWhenUsed/>
    <w:rsid w:val="001356E9"/>
    <w:rPr>
      <w:color w:val="605E5C"/>
      <w:shd w:val="clear" w:color="auto" w:fill="E1DFDD"/>
    </w:rPr>
  </w:style>
  <w:style w:type="character" w:customStyle="1" w:styleId="UnresolvedMention11">
    <w:name w:val="Unresolved Mention11"/>
    <w:basedOn w:val="DefaultParagraphFont"/>
    <w:uiPriority w:val="99"/>
    <w:semiHidden/>
    <w:unhideWhenUsed/>
    <w:rsid w:val="00CE7803"/>
    <w:rPr>
      <w:color w:val="605E5C"/>
      <w:shd w:val="clear" w:color="auto" w:fill="E1DFDD"/>
    </w:rPr>
  </w:style>
  <w:style w:type="character" w:styleId="UnresolvedMention">
    <w:name w:val="Unresolved Mention"/>
    <w:basedOn w:val="DefaultParagraphFont"/>
    <w:uiPriority w:val="99"/>
    <w:semiHidden/>
    <w:unhideWhenUsed/>
    <w:rsid w:val="00817FCB"/>
    <w:rPr>
      <w:color w:val="605E5C"/>
      <w:shd w:val="clear" w:color="auto" w:fill="E1DFDD"/>
    </w:rPr>
  </w:style>
  <w:style w:type="paragraph" w:customStyle="1" w:styleId="Tableheading">
    <w:name w:val="Table heading"/>
    <w:basedOn w:val="Tabletext"/>
    <w:qFormat/>
    <w:rsid w:val="00F30F89"/>
    <w:rPr>
      <w:b/>
    </w:rPr>
  </w:style>
  <w:style w:type="paragraph" w:styleId="ListParagraph">
    <w:name w:val="List Paragraph"/>
    <w:basedOn w:val="Normal"/>
    <w:uiPriority w:val="34"/>
    <w:qFormat/>
    <w:rsid w:val="0022646D"/>
    <w:pPr>
      <w:spacing w:after="120"/>
      <w:ind w:left="720"/>
      <w:contextualSpacing/>
    </w:pPr>
  </w:style>
  <w:style w:type="paragraph" w:customStyle="1" w:styleId="Tablebullet">
    <w:name w:val="Table bullet"/>
    <w:basedOn w:val="Tabletext"/>
    <w:qFormat/>
    <w:rsid w:val="00E10062"/>
    <w:pPr>
      <w:keepNext/>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2932">
      <w:bodyDiv w:val="1"/>
      <w:marLeft w:val="0"/>
      <w:marRight w:val="0"/>
      <w:marTop w:val="0"/>
      <w:marBottom w:val="0"/>
      <w:divBdr>
        <w:top w:val="none" w:sz="0" w:space="0" w:color="auto"/>
        <w:left w:val="none" w:sz="0" w:space="0" w:color="auto"/>
        <w:bottom w:val="none" w:sz="0" w:space="0" w:color="auto"/>
        <w:right w:val="none" w:sz="0" w:space="0" w:color="auto"/>
      </w:divBdr>
    </w:div>
    <w:div w:id="156919709">
      <w:bodyDiv w:val="1"/>
      <w:marLeft w:val="0"/>
      <w:marRight w:val="0"/>
      <w:marTop w:val="0"/>
      <w:marBottom w:val="0"/>
      <w:divBdr>
        <w:top w:val="none" w:sz="0" w:space="0" w:color="auto"/>
        <w:left w:val="none" w:sz="0" w:space="0" w:color="auto"/>
        <w:bottom w:val="none" w:sz="0" w:space="0" w:color="auto"/>
        <w:right w:val="none" w:sz="0" w:space="0" w:color="auto"/>
      </w:divBdr>
    </w:div>
    <w:div w:id="246160846">
      <w:bodyDiv w:val="1"/>
      <w:marLeft w:val="0"/>
      <w:marRight w:val="0"/>
      <w:marTop w:val="0"/>
      <w:marBottom w:val="0"/>
      <w:divBdr>
        <w:top w:val="none" w:sz="0" w:space="0" w:color="auto"/>
        <w:left w:val="none" w:sz="0" w:space="0" w:color="auto"/>
        <w:bottom w:val="none" w:sz="0" w:space="0" w:color="auto"/>
        <w:right w:val="none" w:sz="0" w:space="0" w:color="auto"/>
      </w:divBdr>
    </w:div>
    <w:div w:id="294527375">
      <w:bodyDiv w:val="1"/>
      <w:marLeft w:val="0"/>
      <w:marRight w:val="0"/>
      <w:marTop w:val="0"/>
      <w:marBottom w:val="0"/>
      <w:divBdr>
        <w:top w:val="none" w:sz="0" w:space="0" w:color="auto"/>
        <w:left w:val="none" w:sz="0" w:space="0" w:color="auto"/>
        <w:bottom w:val="none" w:sz="0" w:space="0" w:color="auto"/>
        <w:right w:val="none" w:sz="0" w:space="0" w:color="auto"/>
      </w:divBdr>
    </w:div>
    <w:div w:id="311755463">
      <w:bodyDiv w:val="1"/>
      <w:marLeft w:val="0"/>
      <w:marRight w:val="0"/>
      <w:marTop w:val="0"/>
      <w:marBottom w:val="0"/>
      <w:divBdr>
        <w:top w:val="none" w:sz="0" w:space="0" w:color="auto"/>
        <w:left w:val="none" w:sz="0" w:space="0" w:color="auto"/>
        <w:bottom w:val="none" w:sz="0" w:space="0" w:color="auto"/>
        <w:right w:val="none" w:sz="0" w:space="0" w:color="auto"/>
      </w:divBdr>
    </w:div>
    <w:div w:id="455829697">
      <w:bodyDiv w:val="1"/>
      <w:marLeft w:val="0"/>
      <w:marRight w:val="0"/>
      <w:marTop w:val="0"/>
      <w:marBottom w:val="0"/>
      <w:divBdr>
        <w:top w:val="none" w:sz="0" w:space="0" w:color="auto"/>
        <w:left w:val="none" w:sz="0" w:space="0" w:color="auto"/>
        <w:bottom w:val="none" w:sz="0" w:space="0" w:color="auto"/>
        <w:right w:val="none" w:sz="0" w:space="0" w:color="auto"/>
      </w:divBdr>
    </w:div>
    <w:div w:id="532113992">
      <w:bodyDiv w:val="1"/>
      <w:marLeft w:val="0"/>
      <w:marRight w:val="0"/>
      <w:marTop w:val="0"/>
      <w:marBottom w:val="0"/>
      <w:divBdr>
        <w:top w:val="none" w:sz="0" w:space="0" w:color="auto"/>
        <w:left w:val="none" w:sz="0" w:space="0" w:color="auto"/>
        <w:bottom w:val="none" w:sz="0" w:space="0" w:color="auto"/>
        <w:right w:val="none" w:sz="0" w:space="0" w:color="auto"/>
      </w:divBdr>
    </w:div>
    <w:div w:id="733314828">
      <w:bodyDiv w:val="1"/>
      <w:marLeft w:val="0"/>
      <w:marRight w:val="0"/>
      <w:marTop w:val="0"/>
      <w:marBottom w:val="0"/>
      <w:divBdr>
        <w:top w:val="none" w:sz="0" w:space="0" w:color="auto"/>
        <w:left w:val="none" w:sz="0" w:space="0" w:color="auto"/>
        <w:bottom w:val="none" w:sz="0" w:space="0" w:color="auto"/>
        <w:right w:val="none" w:sz="0" w:space="0" w:color="auto"/>
      </w:divBdr>
    </w:div>
    <w:div w:id="807094652">
      <w:bodyDiv w:val="1"/>
      <w:marLeft w:val="0"/>
      <w:marRight w:val="0"/>
      <w:marTop w:val="0"/>
      <w:marBottom w:val="0"/>
      <w:divBdr>
        <w:top w:val="none" w:sz="0" w:space="0" w:color="auto"/>
        <w:left w:val="none" w:sz="0" w:space="0" w:color="auto"/>
        <w:bottom w:val="none" w:sz="0" w:space="0" w:color="auto"/>
        <w:right w:val="none" w:sz="0" w:space="0" w:color="auto"/>
      </w:divBdr>
    </w:div>
    <w:div w:id="812870339">
      <w:bodyDiv w:val="1"/>
      <w:marLeft w:val="0"/>
      <w:marRight w:val="0"/>
      <w:marTop w:val="0"/>
      <w:marBottom w:val="0"/>
      <w:divBdr>
        <w:top w:val="none" w:sz="0" w:space="0" w:color="auto"/>
        <w:left w:val="none" w:sz="0" w:space="0" w:color="auto"/>
        <w:bottom w:val="none" w:sz="0" w:space="0" w:color="auto"/>
        <w:right w:val="none" w:sz="0" w:space="0" w:color="auto"/>
      </w:divBdr>
    </w:div>
    <w:div w:id="851919626">
      <w:bodyDiv w:val="1"/>
      <w:marLeft w:val="0"/>
      <w:marRight w:val="0"/>
      <w:marTop w:val="0"/>
      <w:marBottom w:val="0"/>
      <w:divBdr>
        <w:top w:val="none" w:sz="0" w:space="0" w:color="auto"/>
        <w:left w:val="none" w:sz="0" w:space="0" w:color="auto"/>
        <w:bottom w:val="none" w:sz="0" w:space="0" w:color="auto"/>
        <w:right w:val="none" w:sz="0" w:space="0" w:color="auto"/>
      </w:divBdr>
    </w:div>
    <w:div w:id="927343656">
      <w:bodyDiv w:val="1"/>
      <w:marLeft w:val="0"/>
      <w:marRight w:val="0"/>
      <w:marTop w:val="0"/>
      <w:marBottom w:val="0"/>
      <w:divBdr>
        <w:top w:val="none" w:sz="0" w:space="0" w:color="auto"/>
        <w:left w:val="none" w:sz="0" w:space="0" w:color="auto"/>
        <w:bottom w:val="none" w:sz="0" w:space="0" w:color="auto"/>
        <w:right w:val="none" w:sz="0" w:space="0" w:color="auto"/>
      </w:divBdr>
    </w:div>
    <w:div w:id="1151872676">
      <w:bodyDiv w:val="1"/>
      <w:marLeft w:val="0"/>
      <w:marRight w:val="0"/>
      <w:marTop w:val="0"/>
      <w:marBottom w:val="0"/>
      <w:divBdr>
        <w:top w:val="none" w:sz="0" w:space="0" w:color="auto"/>
        <w:left w:val="none" w:sz="0" w:space="0" w:color="auto"/>
        <w:bottom w:val="none" w:sz="0" w:space="0" w:color="auto"/>
        <w:right w:val="none" w:sz="0" w:space="0" w:color="auto"/>
      </w:divBdr>
    </w:div>
    <w:div w:id="1179809034">
      <w:bodyDiv w:val="1"/>
      <w:marLeft w:val="0"/>
      <w:marRight w:val="0"/>
      <w:marTop w:val="0"/>
      <w:marBottom w:val="0"/>
      <w:divBdr>
        <w:top w:val="none" w:sz="0" w:space="0" w:color="auto"/>
        <w:left w:val="none" w:sz="0" w:space="0" w:color="auto"/>
        <w:bottom w:val="none" w:sz="0" w:space="0" w:color="auto"/>
        <w:right w:val="none" w:sz="0" w:space="0" w:color="auto"/>
      </w:divBdr>
    </w:div>
    <w:div w:id="1263411663">
      <w:bodyDiv w:val="1"/>
      <w:marLeft w:val="0"/>
      <w:marRight w:val="0"/>
      <w:marTop w:val="0"/>
      <w:marBottom w:val="0"/>
      <w:divBdr>
        <w:top w:val="none" w:sz="0" w:space="0" w:color="auto"/>
        <w:left w:val="none" w:sz="0" w:space="0" w:color="auto"/>
        <w:bottom w:val="none" w:sz="0" w:space="0" w:color="auto"/>
        <w:right w:val="none" w:sz="0" w:space="0" w:color="auto"/>
      </w:divBdr>
    </w:div>
    <w:div w:id="1446195917">
      <w:bodyDiv w:val="1"/>
      <w:marLeft w:val="0"/>
      <w:marRight w:val="0"/>
      <w:marTop w:val="0"/>
      <w:marBottom w:val="0"/>
      <w:divBdr>
        <w:top w:val="none" w:sz="0" w:space="0" w:color="auto"/>
        <w:left w:val="none" w:sz="0" w:space="0" w:color="auto"/>
        <w:bottom w:val="none" w:sz="0" w:space="0" w:color="auto"/>
        <w:right w:val="none" w:sz="0" w:space="0" w:color="auto"/>
      </w:divBdr>
    </w:div>
    <w:div w:id="1607692934">
      <w:bodyDiv w:val="1"/>
      <w:marLeft w:val="0"/>
      <w:marRight w:val="0"/>
      <w:marTop w:val="0"/>
      <w:marBottom w:val="0"/>
      <w:divBdr>
        <w:top w:val="none" w:sz="0" w:space="0" w:color="auto"/>
        <w:left w:val="none" w:sz="0" w:space="0" w:color="auto"/>
        <w:bottom w:val="none" w:sz="0" w:space="0" w:color="auto"/>
        <w:right w:val="none" w:sz="0" w:space="0" w:color="auto"/>
      </w:divBdr>
    </w:div>
    <w:div w:id="1621649834">
      <w:bodyDiv w:val="1"/>
      <w:marLeft w:val="0"/>
      <w:marRight w:val="0"/>
      <w:marTop w:val="0"/>
      <w:marBottom w:val="0"/>
      <w:divBdr>
        <w:top w:val="none" w:sz="0" w:space="0" w:color="auto"/>
        <w:left w:val="none" w:sz="0" w:space="0" w:color="auto"/>
        <w:bottom w:val="none" w:sz="0" w:space="0" w:color="auto"/>
        <w:right w:val="none" w:sz="0" w:space="0" w:color="auto"/>
      </w:divBdr>
    </w:div>
    <w:div w:id="1702854632">
      <w:bodyDiv w:val="1"/>
      <w:marLeft w:val="0"/>
      <w:marRight w:val="0"/>
      <w:marTop w:val="0"/>
      <w:marBottom w:val="0"/>
      <w:divBdr>
        <w:top w:val="none" w:sz="0" w:space="0" w:color="auto"/>
        <w:left w:val="none" w:sz="0" w:space="0" w:color="auto"/>
        <w:bottom w:val="none" w:sz="0" w:space="0" w:color="auto"/>
        <w:right w:val="none" w:sz="0" w:space="0" w:color="auto"/>
      </w:divBdr>
    </w:div>
    <w:div w:id="20576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06976">
          <w:marLeft w:val="0"/>
          <w:marRight w:val="0"/>
          <w:marTop w:val="0"/>
          <w:marBottom w:val="100"/>
          <w:divBdr>
            <w:top w:val="none" w:sz="0" w:space="0" w:color="auto"/>
            <w:left w:val="none" w:sz="0" w:space="0" w:color="auto"/>
            <w:bottom w:val="none" w:sz="0" w:space="0" w:color="auto"/>
            <w:right w:val="none" w:sz="0" w:space="0" w:color="auto"/>
          </w:divBdr>
          <w:divsChild>
            <w:div w:id="461575769">
              <w:marLeft w:val="0"/>
              <w:marRight w:val="0"/>
              <w:marTop w:val="0"/>
              <w:marBottom w:val="10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989DA5"/>
                    <w:left w:val="single" w:sz="6" w:space="0" w:color="989DA5"/>
                    <w:bottom w:val="single" w:sz="6" w:space="0" w:color="989DA5"/>
                    <w:right w:val="single" w:sz="6" w:space="0" w:color="989DA5"/>
                  </w:divBdr>
                  <w:divsChild>
                    <w:div w:id="700206834">
                      <w:marLeft w:val="0"/>
                      <w:marRight w:val="0"/>
                      <w:marTop w:val="150"/>
                      <w:marBottom w:val="150"/>
                      <w:divBdr>
                        <w:top w:val="single" w:sz="6" w:space="0" w:color="666666"/>
                        <w:left w:val="single" w:sz="6" w:space="0" w:color="666666"/>
                        <w:bottom w:val="single" w:sz="6" w:space="0" w:color="666666"/>
                        <w:right w:val="single" w:sz="6" w:space="0" w:color="666666"/>
                      </w:divBdr>
                      <w:divsChild>
                        <w:div w:id="1974211850">
                          <w:marLeft w:val="0"/>
                          <w:marRight w:val="0"/>
                          <w:marTop w:val="0"/>
                          <w:marBottom w:val="0"/>
                          <w:divBdr>
                            <w:top w:val="single" w:sz="6" w:space="6" w:color="666666"/>
                            <w:left w:val="none" w:sz="0" w:space="0" w:color="auto"/>
                            <w:bottom w:val="none" w:sz="0" w:space="0" w:color="auto"/>
                            <w:right w:val="none" w:sz="0" w:space="0" w:color="auto"/>
                          </w:divBdr>
                        </w:div>
                      </w:divsChild>
                    </w:div>
                    <w:div w:id="891621702">
                      <w:marLeft w:val="0"/>
                      <w:marRight w:val="0"/>
                      <w:marTop w:val="0"/>
                      <w:marBottom w:val="0"/>
                      <w:divBdr>
                        <w:top w:val="none" w:sz="0" w:space="0" w:color="auto"/>
                        <w:left w:val="none" w:sz="0" w:space="0" w:color="auto"/>
                        <w:bottom w:val="none" w:sz="0" w:space="0" w:color="auto"/>
                        <w:right w:val="none" w:sz="0" w:space="0" w:color="auto"/>
                      </w:divBdr>
                    </w:div>
                    <w:div w:id="1087648868">
                      <w:marLeft w:val="0"/>
                      <w:marRight w:val="0"/>
                      <w:marTop w:val="0"/>
                      <w:marBottom w:val="0"/>
                      <w:divBdr>
                        <w:top w:val="none" w:sz="0" w:space="0" w:color="auto"/>
                        <w:left w:val="none" w:sz="0" w:space="0" w:color="auto"/>
                        <w:bottom w:val="none" w:sz="0" w:space="0" w:color="auto"/>
                        <w:right w:val="none" w:sz="0" w:space="0" w:color="auto"/>
                      </w:divBdr>
                    </w:div>
                    <w:div w:id="1221861056">
                      <w:marLeft w:val="0"/>
                      <w:marRight w:val="0"/>
                      <w:marTop w:val="0"/>
                      <w:marBottom w:val="0"/>
                      <w:divBdr>
                        <w:top w:val="none" w:sz="0" w:space="0" w:color="auto"/>
                        <w:left w:val="none" w:sz="0" w:space="0" w:color="auto"/>
                        <w:bottom w:val="none" w:sz="0" w:space="0" w:color="auto"/>
                        <w:right w:val="none" w:sz="0" w:space="0" w:color="auto"/>
                      </w:divBdr>
                    </w:div>
                    <w:div w:id="2048600924">
                      <w:marLeft w:val="0"/>
                      <w:marRight w:val="0"/>
                      <w:marTop w:val="0"/>
                      <w:marBottom w:val="0"/>
                      <w:divBdr>
                        <w:top w:val="none" w:sz="0" w:space="0" w:color="auto"/>
                        <w:left w:val="none" w:sz="0" w:space="0" w:color="auto"/>
                        <w:bottom w:val="none" w:sz="0" w:space="0" w:color="auto"/>
                        <w:right w:val="none" w:sz="0" w:space="0" w:color="auto"/>
                      </w:divBdr>
                    </w:div>
                    <w:div w:id="2134471793">
                      <w:marLeft w:val="0"/>
                      <w:marRight w:val="0"/>
                      <w:marTop w:val="0"/>
                      <w:marBottom w:val="0"/>
                      <w:divBdr>
                        <w:top w:val="none" w:sz="0" w:space="0" w:color="auto"/>
                        <w:left w:val="none" w:sz="0" w:space="0" w:color="auto"/>
                        <w:bottom w:val="none" w:sz="0" w:space="0" w:color="auto"/>
                        <w:right w:val="none" w:sz="0" w:space="0" w:color="auto"/>
                      </w:divBdr>
                      <w:divsChild>
                        <w:div w:id="1094208380">
                          <w:marLeft w:val="0"/>
                          <w:marRight w:val="0"/>
                          <w:marTop w:val="0"/>
                          <w:marBottom w:val="0"/>
                          <w:divBdr>
                            <w:top w:val="none" w:sz="0" w:space="0" w:color="auto"/>
                            <w:left w:val="none" w:sz="0" w:space="0" w:color="auto"/>
                            <w:bottom w:val="none" w:sz="0" w:space="0" w:color="auto"/>
                            <w:right w:val="none" w:sz="0" w:space="0" w:color="auto"/>
                          </w:divBdr>
                          <w:divsChild>
                            <w:div w:id="1085806992">
                              <w:marLeft w:val="0"/>
                              <w:marRight w:val="0"/>
                              <w:marTop w:val="0"/>
                              <w:marBottom w:val="0"/>
                              <w:divBdr>
                                <w:top w:val="none" w:sz="0" w:space="0" w:color="auto"/>
                                <w:left w:val="none" w:sz="0" w:space="0" w:color="auto"/>
                                <w:bottom w:val="none" w:sz="0" w:space="0" w:color="auto"/>
                                <w:right w:val="none" w:sz="0" w:space="0" w:color="auto"/>
                              </w:divBdr>
                            </w:div>
                          </w:divsChild>
                        </w:div>
                        <w:div w:id="1132673840">
                          <w:marLeft w:val="0"/>
                          <w:marRight w:val="0"/>
                          <w:marTop w:val="0"/>
                          <w:marBottom w:val="0"/>
                          <w:divBdr>
                            <w:top w:val="none" w:sz="0" w:space="0" w:color="auto"/>
                            <w:left w:val="none" w:sz="0" w:space="0" w:color="auto"/>
                            <w:bottom w:val="none" w:sz="0" w:space="0" w:color="auto"/>
                            <w:right w:val="none" w:sz="0" w:space="0" w:color="auto"/>
                          </w:divBdr>
                        </w:div>
                        <w:div w:id="1237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441">
                  <w:marLeft w:val="0"/>
                  <w:marRight w:val="0"/>
                  <w:marTop w:val="0"/>
                  <w:marBottom w:val="0"/>
                  <w:divBdr>
                    <w:top w:val="none" w:sz="0" w:space="0" w:color="auto"/>
                    <w:left w:val="none" w:sz="0" w:space="0" w:color="auto"/>
                    <w:bottom w:val="none" w:sz="0" w:space="0" w:color="auto"/>
                    <w:right w:val="none" w:sz="0" w:space="0" w:color="auto"/>
                  </w:divBdr>
                </w:div>
                <w:div w:id="13395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nsultations/consultation-on-the-future-regulation-of-medical-devices-in-the-united-kingdom" TargetMode="External"/><Relationship Id="rId18" Type="http://schemas.openxmlformats.org/officeDocument/2006/relationships/hyperlink" Target="https://www.imdrf.org/sites/default/files/docs/imdrf/final/technical/imdrf-tech-140918-samd-framework-risk-categorization-141013.pdf" TargetMode="External"/><Relationship Id="rId26" Type="http://schemas.openxmlformats.org/officeDocument/2006/relationships/hyperlink" Target="https://www.england.nhs.uk/greenernhs/a-net-zero-nhs/" TargetMode="External"/><Relationship Id="rId39" Type="http://schemas.openxmlformats.org/officeDocument/2006/relationships/hyperlink" Target="https://digital.nhs.uk/data-and-information/information-standards/information-standards-and-data-collections-including-extractions/publications-and-notifications/standards-and-collections/dcb0160-clinical-risk-management-its-application-in-the-deployment-and-use-of-health-it-systems" TargetMode="External"/><Relationship Id="rId21" Type="http://schemas.openxmlformats.org/officeDocument/2006/relationships/footer" Target="footer3.xml"/><Relationship Id="rId34" Type="http://schemas.openxmlformats.org/officeDocument/2006/relationships/hyperlink" Target="https://www.cqc.org.uk/files/regulation-digital-healthcare-providers-primary-care" TargetMode="External"/><Relationship Id="rId42" Type="http://schemas.openxmlformats.org/officeDocument/2006/relationships/hyperlink" Target="https://service-manual.nhs.uk/service-standard"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digital.nhs.uk/about-nhs-digital/our-work/digital-inclusion" TargetMode="External"/><Relationship Id="rId11" Type="http://schemas.openxmlformats.org/officeDocument/2006/relationships/hyperlink" Target="https://www.gov.uk/government/publications/medical-devices-software-applications-apps" TargetMode="External"/><Relationship Id="rId24" Type="http://schemas.openxmlformats.org/officeDocument/2006/relationships/hyperlink" Target="https://www.nhsx.nhs.uk/key-tools-and-info/digital-technology-assessment-criteria-dtac/" TargetMode="External"/><Relationship Id="rId32" Type="http://schemas.openxmlformats.org/officeDocument/2006/relationships/hyperlink" Target="https://www.nice.org.uk/process/pmg20/chapter/appendices" TargetMode="External"/><Relationship Id="rId37" Type="http://schemas.openxmlformats.org/officeDocument/2006/relationships/hyperlink" Target="https://www.nhsx.nhs.uk/key-tools-and-info/digital-technology-assessment-criteria-dtac/" TargetMode="External"/><Relationship Id="rId40" Type="http://schemas.openxmlformats.org/officeDocument/2006/relationships/hyperlink" Target="https://www.dsptoolkit.nhs.uk/" TargetMode="External"/><Relationship Id="rId45" Type="http://schemas.openxmlformats.org/officeDocument/2006/relationships/hyperlink" Target="https://modelcards.withgoogle.com/about"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s://www.legislation.gov.uk/ukpga/2010/15/contents" TargetMode="External"/><Relationship Id="rId36" Type="http://schemas.openxmlformats.org/officeDocument/2006/relationships/hyperlink" Target="https://ico.org.uk/for-organisations/data-protection-fee/faqs-data-protection-fee-payment-and-online-registration/" TargetMode="External"/><Relationship Id="rId49" Type="http://schemas.openxmlformats.org/officeDocument/2006/relationships/header" Target="header6.xml"/><Relationship Id="rId10" Type="http://schemas.openxmlformats.org/officeDocument/2006/relationships/hyperlink" Target="https://www.cqc.org.uk/" TargetMode="External"/><Relationship Id="rId19" Type="http://schemas.openxmlformats.org/officeDocument/2006/relationships/header" Target="header1.xml"/><Relationship Id="rId31" Type="http://schemas.openxmlformats.org/officeDocument/2006/relationships/hyperlink" Target="https://www.nice.org.uk/about/what-we-do/into-practice/resource-impact-assessment" TargetMode="External"/><Relationship Id="rId44" Type="http://schemas.openxmlformats.org/officeDocument/2006/relationships/hyperlink" Target="https://www.nice.org.uk/process/pmg36/chapter/introduction-to-health-technology-evaluation" TargetMode="External"/><Relationship Id="rId4" Type="http://schemas.openxmlformats.org/officeDocument/2006/relationships/settings" Target="settings.xml"/><Relationship Id="rId9" Type="http://schemas.openxmlformats.org/officeDocument/2006/relationships/hyperlink" Target="https://www.gov.uk/government/organisations/medicines-and-healthcare-products-regulatory-agency" TargetMode="External"/><Relationship Id="rId14" Type="http://schemas.openxmlformats.org/officeDocument/2006/relationships/hyperlink" Target="https://www.nice.org.uk/Media/Default/About/what-we-do/our-programmes/ESF-user-guide-2022-consultation.docx" TargetMode="External"/><Relationship Id="rId22" Type="http://schemas.openxmlformats.org/officeDocument/2006/relationships/header" Target="header3.xml"/><Relationship Id="rId27" Type="http://schemas.openxmlformats.org/officeDocument/2006/relationships/hyperlink" Target="https://www.england.nhs.uk/greenernhs/a-net-zero-nhs/" TargetMode="External"/><Relationship Id="rId30" Type="http://schemas.openxmlformats.org/officeDocument/2006/relationships/hyperlink" Target="https://www.gov.uk/government/publications/good-machine-learning-practice-for-medical-device-development-guiding-principles/good-machine-learning-practice-for-medical-device-development-guiding-principles" TargetMode="External"/><Relationship Id="rId35" Type="http://schemas.openxmlformats.org/officeDocument/2006/relationships/hyperlink" Target="https://ico.org.uk/for-organisations/guide-to-data-protection/guide-to-the-general-data-protection-regulation-gdpr/" TargetMode="External"/><Relationship Id="rId43" Type="http://schemas.openxmlformats.org/officeDocument/2006/relationships/hyperlink" Target="https://www.iso.org/standard/59543.html" TargetMode="External"/><Relationship Id="rId48" Type="http://schemas.openxmlformats.org/officeDocument/2006/relationships/footer" Target="footer4.xml"/><Relationship Id="rId8" Type="http://schemas.openxmlformats.org/officeDocument/2006/relationships/hyperlink" Target="https://www.nice.org.uk/Media/Default/About/what-we-do/our-programmes/ESF-user-guide-2022-consultation.docx"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mdrf.org/sites/default/files/docs/imdrf/final/technical/imdrf-tech-140918-samd-framework-risk-categorization-141013.pdf" TargetMode="External"/><Relationship Id="rId17" Type="http://schemas.openxmlformats.org/officeDocument/2006/relationships/footer" Target="footer2.xml"/><Relationship Id="rId25" Type="http://schemas.openxmlformats.org/officeDocument/2006/relationships/hyperlink" Target="https://www.iso.org/standard/63179.html" TargetMode="External"/><Relationship Id="rId33" Type="http://schemas.openxmlformats.org/officeDocument/2006/relationships/hyperlink" Target="https://www.gov.uk/government/publications/medical-devices-software-applications-apps" TargetMode="External"/><Relationship Id="rId38" Type="http://schemas.openxmlformats.org/officeDocument/2006/relationships/hyperlink" Target="https://digital.nhs.uk/data-and-information/information-standards/information-standards-and-data-collections-including-extractions/publications-and-notifications/standards-and-collections/dcb0129-clinical-risk-management-its-application-in-the-manufacture-of-health-it-systems" TargetMode="External"/><Relationship Id="rId46" Type="http://schemas.openxmlformats.org/officeDocument/2006/relationships/header" Target="header4.xml"/><Relationship Id="rId20" Type="http://schemas.openxmlformats.org/officeDocument/2006/relationships/header" Target="header2.xml"/><Relationship Id="rId41" Type="http://schemas.openxmlformats.org/officeDocument/2006/relationships/hyperlink" Target="https://digital.nhs.uk/services/interoperability-toolki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F98F-3AD2-4471-ADB9-513D1BDF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8101</Words>
  <Characters>46178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54171</CharactersWithSpaces>
  <SharedDoc>false</SharedDoc>
  <HLinks>
    <vt:vector size="102" baseType="variant">
      <vt:variant>
        <vt:i4>3211303</vt:i4>
      </vt:variant>
      <vt:variant>
        <vt:i4>393</vt:i4>
      </vt:variant>
      <vt:variant>
        <vt:i4>0</vt:i4>
      </vt:variant>
      <vt:variant>
        <vt:i4>5</vt:i4>
      </vt:variant>
      <vt:variant>
        <vt:lpwstr>https://www.nice.org.uk/get-involved/meetings-in-public/technology-appraisal-committee</vt:lpwstr>
      </vt:variant>
      <vt:variant>
        <vt:lpwstr/>
      </vt:variant>
      <vt:variant>
        <vt:i4>3211303</vt:i4>
      </vt:variant>
      <vt:variant>
        <vt:i4>390</vt:i4>
      </vt:variant>
      <vt:variant>
        <vt:i4>0</vt:i4>
      </vt:variant>
      <vt:variant>
        <vt:i4>5</vt:i4>
      </vt:variant>
      <vt:variant>
        <vt:lpwstr>https://www.nice.org.uk/get-involved/meetings-in-public/technology-appraisal-committee</vt:lpwstr>
      </vt:variant>
      <vt:variant>
        <vt:lpwstr/>
      </vt:variant>
      <vt:variant>
        <vt:i4>2687086</vt:i4>
      </vt:variant>
      <vt:variant>
        <vt:i4>387</vt:i4>
      </vt:variant>
      <vt:variant>
        <vt:i4>0</vt:i4>
      </vt:variant>
      <vt:variant>
        <vt:i4>5</vt:i4>
      </vt:variant>
      <vt:variant>
        <vt:lpwstr>https://www.nice.org.uk/Get-Involved/Meetings-in-public/Technology-appraisal-Committee/Committee-X-Members</vt:lpwstr>
      </vt:variant>
      <vt:variant>
        <vt:lpwstr/>
      </vt:variant>
      <vt:variant>
        <vt:i4>8192049</vt:i4>
      </vt:variant>
      <vt:variant>
        <vt:i4>378</vt:i4>
      </vt:variant>
      <vt:variant>
        <vt:i4>0</vt:i4>
      </vt:variant>
      <vt:variant>
        <vt:i4>5</vt:i4>
      </vt:variant>
      <vt:variant>
        <vt:lpwstr>https://www.nice.org.uk/about/what-we-do/our-programmes/nice-guidance/nice-technology-appraisal-guidance/cancer-drugs-fund</vt:lpwstr>
      </vt:variant>
      <vt:variant>
        <vt:lpwstr/>
      </vt:variant>
      <vt:variant>
        <vt:i4>2818165</vt:i4>
      </vt:variant>
      <vt:variant>
        <vt:i4>351</vt:i4>
      </vt:variant>
      <vt:variant>
        <vt:i4>0</vt:i4>
      </vt:variant>
      <vt:variant>
        <vt:i4>5</vt:i4>
      </vt:variant>
      <vt:variant>
        <vt:lpwstr>https://www.england.nhs.uk/cancer/cdf/</vt:lpwstr>
      </vt:variant>
      <vt:variant>
        <vt:lpwstr/>
      </vt:variant>
      <vt:variant>
        <vt:i4>4522076</vt:i4>
      </vt:variant>
      <vt:variant>
        <vt:i4>330</vt:i4>
      </vt:variant>
      <vt:variant>
        <vt:i4>0</vt:i4>
      </vt:variant>
      <vt:variant>
        <vt:i4>5</vt:i4>
      </vt:variant>
      <vt:variant>
        <vt:lpwstr>http://www.legislation.gov.uk/uksi/2013/259/contents/made</vt:lpwstr>
      </vt:variant>
      <vt:variant>
        <vt:lpwstr/>
      </vt:variant>
      <vt:variant>
        <vt:i4>852042</vt:i4>
      </vt:variant>
      <vt:variant>
        <vt:i4>327</vt:i4>
      </vt:variant>
      <vt:variant>
        <vt:i4>0</vt:i4>
      </vt:variant>
      <vt:variant>
        <vt:i4>5</vt:i4>
      </vt:variant>
      <vt:variant>
        <vt:lpwstr>https://www.gov.uk/government/publications/early-access-to-medicines-scheme-eams-how-the-scheme-works</vt:lpwstr>
      </vt:variant>
      <vt:variant>
        <vt:lpwstr/>
      </vt:variant>
      <vt:variant>
        <vt:i4>1572937</vt:i4>
      </vt:variant>
      <vt:variant>
        <vt:i4>321</vt:i4>
      </vt:variant>
      <vt:variant>
        <vt:i4>0</vt:i4>
      </vt:variant>
      <vt:variant>
        <vt:i4>5</vt:i4>
      </vt:variant>
      <vt:variant>
        <vt:lpwstr>https://www.nice.org.uk/about/what-we-do/our-programmes/nice-guidance/nice-technology-appraisal-guidance/process</vt:lpwstr>
      </vt:variant>
      <vt:variant>
        <vt:lpwstr/>
      </vt:variant>
      <vt:variant>
        <vt:i4>4522076</vt:i4>
      </vt:variant>
      <vt:variant>
        <vt:i4>315</vt:i4>
      </vt:variant>
      <vt:variant>
        <vt:i4>0</vt:i4>
      </vt:variant>
      <vt:variant>
        <vt:i4>5</vt:i4>
      </vt:variant>
      <vt:variant>
        <vt:lpwstr>http://www.legislation.gov.uk/uksi/2013/259/contents/made</vt:lpwstr>
      </vt:variant>
      <vt:variant>
        <vt:lpwstr/>
      </vt:variant>
      <vt:variant>
        <vt:i4>7274531</vt:i4>
      </vt:variant>
      <vt:variant>
        <vt:i4>273</vt:i4>
      </vt:variant>
      <vt:variant>
        <vt:i4>0</vt:i4>
      </vt:variant>
      <vt:variant>
        <vt:i4>5</vt:i4>
      </vt:variant>
      <vt:variant>
        <vt:lpwstr>\\nice.nhs.uk\Data\CHTE\Appraisals\STAR project\WS 3 - Managing uncertainty &amp; risk\3.b Managed access models\3.b.i Quantifying uncertainty\Draft approach\Guidance to committee\CDF guidance to ctee v0.9.pptx</vt:lpwstr>
      </vt:variant>
      <vt:variant>
        <vt:lpwstr/>
      </vt:variant>
      <vt:variant>
        <vt:i4>8192049</vt:i4>
      </vt:variant>
      <vt:variant>
        <vt:i4>270</vt:i4>
      </vt:variant>
      <vt:variant>
        <vt:i4>0</vt:i4>
      </vt:variant>
      <vt:variant>
        <vt:i4>5</vt:i4>
      </vt:variant>
      <vt:variant>
        <vt:lpwstr>https://www.nice.org.uk/about/what-we-do/our-programmes/nice-guidance/nice-technology-appraisal-guidance/cancer-drugs-fund</vt:lpwstr>
      </vt:variant>
      <vt:variant>
        <vt:lpwstr/>
      </vt:variant>
      <vt:variant>
        <vt:i4>5373979</vt:i4>
      </vt:variant>
      <vt:variant>
        <vt:i4>255</vt:i4>
      </vt:variant>
      <vt:variant>
        <vt:i4>0</vt:i4>
      </vt:variant>
      <vt:variant>
        <vt:i4>5</vt:i4>
      </vt:variant>
      <vt:variant>
        <vt:lpwstr>https://www.nice.org.uk/process/pmg9/chapter/the-appraisal-of-the-evidence-and-structured-decision-making</vt:lpwstr>
      </vt:variant>
      <vt:variant>
        <vt:lpwstr/>
      </vt:variant>
      <vt:variant>
        <vt:i4>5701707</vt:i4>
      </vt:variant>
      <vt:variant>
        <vt:i4>159</vt:i4>
      </vt:variant>
      <vt:variant>
        <vt:i4>0</vt:i4>
      </vt:variant>
      <vt:variant>
        <vt:i4>5</vt:i4>
      </vt:variant>
      <vt:variant>
        <vt:lpwstr>http://www.nice.org.uk/Guidance/GID-xxxxxx/Documents</vt:lpwstr>
      </vt:variant>
      <vt:variant>
        <vt:lpwstr/>
      </vt:variant>
      <vt:variant>
        <vt:i4>2162708</vt:i4>
      </vt:variant>
      <vt:variant>
        <vt:i4>102</vt:i4>
      </vt:variant>
      <vt:variant>
        <vt:i4>0</vt:i4>
      </vt:variant>
      <vt:variant>
        <vt:i4>5</vt:i4>
      </vt:variant>
      <vt:variant>
        <vt:lpwstr>\\nice.nhs.uk\Data\Global\NICE\NICE Templates\Tech App</vt:lpwstr>
      </vt:variant>
      <vt:variant>
        <vt:lpwstr/>
      </vt:variant>
      <vt:variant>
        <vt:i4>1507346</vt:i4>
      </vt:variant>
      <vt:variant>
        <vt:i4>15</vt:i4>
      </vt:variant>
      <vt:variant>
        <vt:i4>0</vt:i4>
      </vt:variant>
      <vt:variant>
        <vt:i4>5</vt:i4>
      </vt:variant>
      <vt:variant>
        <vt:lpwstr>http://www.nice.org.uk/article/pmg19/chapter/Foreword</vt:lpwstr>
      </vt:variant>
      <vt:variant>
        <vt:lpwstr/>
      </vt:variant>
      <vt:variant>
        <vt:i4>6488110</vt:i4>
      </vt:variant>
      <vt:variant>
        <vt:i4>9</vt:i4>
      </vt:variant>
      <vt:variant>
        <vt:i4>0</vt:i4>
      </vt:variant>
      <vt:variant>
        <vt:i4>5</vt:i4>
      </vt:variant>
      <vt:variant>
        <vt:lpwstr>http://www.nice.org.uk/guidance/indevelopment/gid-tagXXX/documents</vt:lpwstr>
      </vt:variant>
      <vt:variant>
        <vt:lpwstr/>
      </vt:variant>
      <vt:variant>
        <vt:i4>1245255</vt:i4>
      </vt:variant>
      <vt:variant>
        <vt:i4>6</vt:i4>
      </vt:variant>
      <vt:variant>
        <vt:i4>0</vt:i4>
      </vt:variant>
      <vt:variant>
        <vt:i4>5</vt:i4>
      </vt:variant>
      <vt:variant>
        <vt:lpwstr>https://www.nice.org.uk/terms-and-conditions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2022-04-11T13:34:00Z</dcterms:created>
  <dcterms:modified xsi:type="dcterms:W3CDTF">2022-04-11T13:34:00Z</dcterms:modified>
</cp:coreProperties>
</file>