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9AEE2" w14:textId="4DAE9C20" w:rsidR="00806F29" w:rsidRPr="00806F29" w:rsidRDefault="00806F29" w:rsidP="00806F29">
      <w:pPr>
        <w:pStyle w:val="NoSpacing"/>
        <w:rPr>
          <w:rFonts w:ascii="Arial" w:hAnsi="Arial" w:cs="Arial"/>
          <w:b/>
          <w:sz w:val="28"/>
          <w:szCs w:val="28"/>
        </w:rPr>
      </w:pPr>
      <w:r w:rsidRPr="00806F29">
        <w:rPr>
          <w:rFonts w:ascii="Arial" w:hAnsi="Arial" w:cs="Arial"/>
          <w:b/>
          <w:sz w:val="28"/>
          <w:szCs w:val="28"/>
        </w:rPr>
        <w:t>National Institute for Health and Care Excellence</w:t>
      </w:r>
    </w:p>
    <w:p w14:paraId="5A473408" w14:textId="77777777" w:rsidR="00806F29" w:rsidRDefault="00806F29" w:rsidP="00806F29">
      <w:pPr>
        <w:pStyle w:val="NoSpacing"/>
        <w:rPr>
          <w:rFonts w:ascii="Arial" w:hAnsi="Arial" w:cs="Arial"/>
          <w:b/>
          <w:sz w:val="24"/>
          <w:szCs w:val="24"/>
        </w:rPr>
      </w:pPr>
    </w:p>
    <w:p w14:paraId="3C5F96F4" w14:textId="0A1BC6F5" w:rsidR="00806F29" w:rsidRDefault="00806F29" w:rsidP="009D63A3">
      <w:pPr>
        <w:pStyle w:val="NoSpacing"/>
        <w:rPr>
          <w:rFonts w:ascii="Arial" w:hAnsi="Arial" w:cs="Arial"/>
          <w:b/>
          <w:sz w:val="24"/>
          <w:szCs w:val="24"/>
        </w:rPr>
      </w:pPr>
      <w:r w:rsidRPr="00806F29">
        <w:rPr>
          <w:rFonts w:ascii="Arial" w:hAnsi="Arial" w:cs="Arial"/>
          <w:b/>
          <w:sz w:val="24"/>
          <w:szCs w:val="24"/>
        </w:rPr>
        <w:t>Indicator Advisory Committee meeting minutes</w:t>
      </w:r>
    </w:p>
    <w:p w14:paraId="17124FC8" w14:textId="0F36E5D0" w:rsidR="00806F29" w:rsidRPr="00271ED7" w:rsidRDefault="00806F29" w:rsidP="009D63A3">
      <w:pPr>
        <w:pStyle w:val="Paragraph"/>
        <w:numPr>
          <w:ilvl w:val="0"/>
          <w:numId w:val="0"/>
        </w:numPr>
        <w:spacing w:line="240" w:lineRule="auto"/>
        <w:rPr>
          <w:rFonts w:cs="Arial"/>
          <w:sz w:val="20"/>
          <w:szCs w:val="20"/>
        </w:rPr>
      </w:pPr>
      <w:r w:rsidRPr="00271ED7">
        <w:rPr>
          <w:rFonts w:cs="Arial"/>
          <w:b/>
          <w:sz w:val="20"/>
          <w:szCs w:val="20"/>
        </w:rPr>
        <w:t>Date:</w:t>
      </w:r>
      <w:r w:rsidRPr="00271ED7">
        <w:rPr>
          <w:rFonts w:cs="Arial"/>
          <w:bCs/>
          <w:sz w:val="20"/>
          <w:szCs w:val="20"/>
        </w:rPr>
        <w:t xml:space="preserve"> </w:t>
      </w:r>
      <w:r w:rsidR="00271ED7">
        <w:rPr>
          <w:rFonts w:cs="Arial"/>
          <w:bCs/>
          <w:sz w:val="20"/>
          <w:szCs w:val="20"/>
        </w:rPr>
        <w:t>5 September 2023</w:t>
      </w:r>
    </w:p>
    <w:p w14:paraId="348B796F" w14:textId="22610BAB" w:rsidR="00806F29" w:rsidRPr="00271ED7" w:rsidRDefault="00806F29" w:rsidP="009D63A3">
      <w:pPr>
        <w:tabs>
          <w:tab w:val="left" w:pos="709"/>
        </w:tabs>
        <w:spacing w:line="240" w:lineRule="auto"/>
        <w:rPr>
          <w:rFonts w:ascii="Arial" w:hAnsi="Arial" w:cs="Arial"/>
          <w:i/>
          <w:iCs/>
        </w:rPr>
      </w:pPr>
      <w:r w:rsidRPr="00271ED7">
        <w:rPr>
          <w:rFonts w:ascii="Arial" w:hAnsi="Arial" w:cs="Arial"/>
          <w:b/>
          <w:sz w:val="20"/>
          <w:szCs w:val="20"/>
        </w:rPr>
        <w:t xml:space="preserve">Location: </w:t>
      </w:r>
      <w:r w:rsidRPr="00271ED7">
        <w:rPr>
          <w:rFonts w:ascii="Arial" w:hAnsi="Arial" w:cs="Arial"/>
          <w:sz w:val="20"/>
          <w:szCs w:val="20"/>
        </w:rPr>
        <w:t xml:space="preserve">Virtual via Zoom </w:t>
      </w:r>
    </w:p>
    <w:p w14:paraId="65BE5FA1" w14:textId="77777777" w:rsidR="00806F29" w:rsidRPr="00271ED7" w:rsidRDefault="00806F29" w:rsidP="009D63A3">
      <w:pPr>
        <w:pStyle w:val="Paragraph"/>
        <w:numPr>
          <w:ilvl w:val="0"/>
          <w:numId w:val="0"/>
        </w:numPr>
        <w:spacing w:line="240" w:lineRule="auto"/>
        <w:rPr>
          <w:rFonts w:cs="Arial"/>
          <w:b/>
          <w:sz w:val="20"/>
          <w:szCs w:val="20"/>
        </w:rPr>
      </w:pPr>
      <w:r w:rsidRPr="00271ED7">
        <w:rPr>
          <w:rFonts w:cs="Arial"/>
          <w:b/>
          <w:sz w:val="20"/>
          <w:szCs w:val="20"/>
        </w:rPr>
        <w:t xml:space="preserve">Attendees: </w:t>
      </w:r>
    </w:p>
    <w:p w14:paraId="53678831" w14:textId="77777777" w:rsidR="00806F29" w:rsidRPr="00271ED7" w:rsidRDefault="00806F29" w:rsidP="009D63A3">
      <w:pPr>
        <w:spacing w:line="240" w:lineRule="auto"/>
        <w:rPr>
          <w:rFonts w:ascii="Arial" w:hAnsi="Arial" w:cs="Arial"/>
          <w:b/>
          <w:sz w:val="20"/>
          <w:szCs w:val="20"/>
        </w:rPr>
      </w:pPr>
      <w:r w:rsidRPr="00271ED7">
        <w:rPr>
          <w:rFonts w:ascii="Arial" w:hAnsi="Arial" w:cs="Arial"/>
          <w:b/>
          <w:sz w:val="20"/>
          <w:szCs w:val="20"/>
        </w:rPr>
        <w:t xml:space="preserve">Indicator Advisory Committee members: </w:t>
      </w:r>
    </w:p>
    <w:p w14:paraId="552AF1F9" w14:textId="736392E4" w:rsidR="00806F29" w:rsidRPr="00271ED7" w:rsidRDefault="00806F29" w:rsidP="009D63A3">
      <w:pPr>
        <w:spacing w:line="240" w:lineRule="auto"/>
        <w:rPr>
          <w:rFonts w:ascii="Arial" w:hAnsi="Arial" w:cs="Arial"/>
          <w:sz w:val="20"/>
          <w:szCs w:val="20"/>
        </w:rPr>
      </w:pPr>
      <w:r w:rsidRPr="00271ED7">
        <w:rPr>
          <w:rFonts w:ascii="Arial" w:hAnsi="Arial" w:cs="Arial"/>
          <w:sz w:val="20"/>
          <w:szCs w:val="20"/>
        </w:rPr>
        <w:t>Ronny Cheung (RC) [chair], Adrian Barker (</w:t>
      </w:r>
      <w:proofErr w:type="spellStart"/>
      <w:r w:rsidRPr="00271ED7">
        <w:rPr>
          <w:rFonts w:ascii="Arial" w:hAnsi="Arial" w:cs="Arial"/>
          <w:sz w:val="20"/>
          <w:szCs w:val="20"/>
        </w:rPr>
        <w:t>ABa</w:t>
      </w:r>
      <w:proofErr w:type="spellEnd"/>
      <w:r w:rsidRPr="00271ED7">
        <w:rPr>
          <w:rFonts w:ascii="Arial" w:hAnsi="Arial" w:cs="Arial"/>
          <w:sz w:val="20"/>
          <w:szCs w:val="20"/>
        </w:rPr>
        <w:t>), Chloe Evans (CE), Linn Phipps (LP), Victoria Welsh (VW), Waqas Tahir (WT), Mary Weatherstone (MW), Elena Garralda (EG), Rachel Brown (RB), Kate Francis (KF), Ben Anderson (BA), Paula Parvulescu (PP), Martin Vernon (MV), Tessa Lewis (TL), Chris Gale (CG), Chris Wilkinson (CW)</w:t>
      </w:r>
      <w:r w:rsidR="00E15865">
        <w:rPr>
          <w:rFonts w:ascii="Arial" w:hAnsi="Arial" w:cs="Arial"/>
          <w:sz w:val="20"/>
          <w:szCs w:val="20"/>
        </w:rPr>
        <w:t xml:space="preserve">, </w:t>
      </w:r>
      <w:r w:rsidR="00E15865" w:rsidRPr="00E15865">
        <w:rPr>
          <w:rFonts w:ascii="Arial" w:hAnsi="Arial" w:cs="Arial"/>
          <w:sz w:val="20"/>
          <w:szCs w:val="20"/>
        </w:rPr>
        <w:t>Mieke Van Hemelrijck</w:t>
      </w:r>
      <w:r w:rsidR="00E15865">
        <w:rPr>
          <w:rFonts w:ascii="Arial" w:hAnsi="Arial" w:cs="Arial"/>
          <w:sz w:val="20"/>
          <w:szCs w:val="20"/>
        </w:rPr>
        <w:t xml:space="preserve"> (MVH), Dominic Horne (DH)</w:t>
      </w:r>
    </w:p>
    <w:p w14:paraId="6B91BBA4" w14:textId="77777777" w:rsidR="00806F29" w:rsidRPr="00271ED7" w:rsidRDefault="00806F29" w:rsidP="009D63A3">
      <w:pPr>
        <w:spacing w:line="240" w:lineRule="auto"/>
        <w:rPr>
          <w:rFonts w:ascii="Arial" w:hAnsi="Arial" w:cs="Arial"/>
          <w:b/>
          <w:bCs/>
          <w:sz w:val="20"/>
          <w:szCs w:val="20"/>
        </w:rPr>
      </w:pPr>
      <w:r w:rsidRPr="00271ED7">
        <w:rPr>
          <w:rFonts w:ascii="Arial" w:hAnsi="Arial" w:cs="Arial"/>
          <w:b/>
          <w:bCs/>
          <w:sz w:val="20"/>
          <w:szCs w:val="20"/>
        </w:rPr>
        <w:t>NICE attendees:</w:t>
      </w:r>
    </w:p>
    <w:p w14:paraId="19389135" w14:textId="10E379EF" w:rsidR="00806F29" w:rsidRPr="00271ED7" w:rsidRDefault="00271ED7" w:rsidP="009D63A3">
      <w:pPr>
        <w:spacing w:line="240" w:lineRule="auto"/>
        <w:rPr>
          <w:rFonts w:ascii="Arial" w:hAnsi="Arial" w:cs="Arial"/>
          <w:sz w:val="20"/>
          <w:szCs w:val="20"/>
        </w:rPr>
      </w:pPr>
      <w:r>
        <w:rPr>
          <w:rFonts w:ascii="Arial" w:hAnsi="Arial" w:cs="Arial"/>
          <w:sz w:val="20"/>
          <w:szCs w:val="20"/>
        </w:rPr>
        <w:t>Craig Grime (CDG), Rachel Gick (RG), Daniel Smithson (DS), Rick Keen (RK) [minutes], Emma Gordon (EG) [host]</w:t>
      </w:r>
    </w:p>
    <w:p w14:paraId="2A275BD9" w14:textId="77777777" w:rsidR="00806F29" w:rsidRPr="00271ED7" w:rsidRDefault="00806F29" w:rsidP="009D63A3">
      <w:pPr>
        <w:spacing w:line="240" w:lineRule="auto"/>
        <w:rPr>
          <w:rFonts w:ascii="Arial" w:hAnsi="Arial" w:cs="Arial"/>
          <w:b/>
          <w:bCs/>
          <w:sz w:val="20"/>
          <w:szCs w:val="20"/>
        </w:rPr>
      </w:pPr>
      <w:r w:rsidRPr="00271ED7">
        <w:rPr>
          <w:rFonts w:ascii="Arial" w:hAnsi="Arial" w:cs="Arial"/>
          <w:b/>
          <w:bCs/>
          <w:sz w:val="20"/>
          <w:szCs w:val="20"/>
        </w:rPr>
        <w:t>National Collaborating Centre for Indicator Development (NCCID):</w:t>
      </w:r>
    </w:p>
    <w:p w14:paraId="3EB19EF0" w14:textId="2ABEC983" w:rsidR="00806F29" w:rsidRPr="00271ED7" w:rsidRDefault="00806F29" w:rsidP="009D63A3">
      <w:pPr>
        <w:spacing w:line="240" w:lineRule="auto"/>
        <w:rPr>
          <w:rFonts w:ascii="Arial" w:hAnsi="Arial" w:cs="Arial"/>
          <w:sz w:val="20"/>
          <w:szCs w:val="20"/>
        </w:rPr>
      </w:pPr>
      <w:r w:rsidRPr="00271ED7">
        <w:rPr>
          <w:rFonts w:ascii="Arial" w:hAnsi="Arial" w:cs="Arial"/>
          <w:sz w:val="20"/>
          <w:szCs w:val="20"/>
        </w:rPr>
        <w:t>Andrea Brown (</w:t>
      </w:r>
      <w:proofErr w:type="spellStart"/>
      <w:r w:rsidRPr="00271ED7">
        <w:rPr>
          <w:rFonts w:ascii="Arial" w:hAnsi="Arial" w:cs="Arial"/>
          <w:sz w:val="20"/>
          <w:szCs w:val="20"/>
        </w:rPr>
        <w:t>ABr</w:t>
      </w:r>
      <w:proofErr w:type="spellEnd"/>
      <w:r w:rsidRPr="00271ED7">
        <w:rPr>
          <w:rFonts w:ascii="Arial" w:hAnsi="Arial" w:cs="Arial"/>
          <w:sz w:val="20"/>
          <w:szCs w:val="20"/>
        </w:rPr>
        <w:t>), Kate Thurland (KT), Jackie Gray (JG), Ellie Mitchell (EM)</w:t>
      </w:r>
      <w:r w:rsidR="00271ED7">
        <w:rPr>
          <w:rFonts w:ascii="Arial" w:hAnsi="Arial" w:cs="Arial"/>
          <w:sz w:val="20"/>
          <w:szCs w:val="20"/>
        </w:rPr>
        <w:t>, Paul Collingwood (PC) Helen King (HK)</w:t>
      </w:r>
    </w:p>
    <w:p w14:paraId="689CD342" w14:textId="77777777" w:rsidR="00806F29" w:rsidRPr="00271ED7" w:rsidRDefault="00806F29" w:rsidP="009D63A3">
      <w:pPr>
        <w:spacing w:line="240" w:lineRule="auto"/>
        <w:rPr>
          <w:rFonts w:ascii="Arial" w:hAnsi="Arial" w:cs="Arial"/>
          <w:b/>
          <w:bCs/>
          <w:sz w:val="20"/>
          <w:szCs w:val="20"/>
        </w:rPr>
      </w:pPr>
      <w:r w:rsidRPr="00271ED7">
        <w:rPr>
          <w:rFonts w:ascii="Arial" w:hAnsi="Arial" w:cs="Arial"/>
          <w:b/>
          <w:bCs/>
          <w:sz w:val="20"/>
          <w:szCs w:val="20"/>
        </w:rPr>
        <w:t>NICE observers:</w:t>
      </w:r>
    </w:p>
    <w:p w14:paraId="2B06705B" w14:textId="47BAC350" w:rsidR="00806F29" w:rsidRPr="00271ED7" w:rsidRDefault="00271ED7" w:rsidP="009D63A3">
      <w:pPr>
        <w:spacing w:line="240" w:lineRule="auto"/>
        <w:rPr>
          <w:rFonts w:ascii="Arial" w:hAnsi="Arial" w:cs="Arial"/>
          <w:sz w:val="20"/>
          <w:szCs w:val="20"/>
        </w:rPr>
      </w:pPr>
      <w:r>
        <w:rPr>
          <w:rFonts w:ascii="Arial" w:hAnsi="Arial" w:cs="Arial"/>
          <w:sz w:val="20"/>
          <w:szCs w:val="20"/>
        </w:rPr>
        <w:t>Vanessa Kam</w:t>
      </w:r>
    </w:p>
    <w:p w14:paraId="31112BDA" w14:textId="77777777" w:rsidR="00806F29" w:rsidRPr="00271ED7" w:rsidRDefault="00806F29" w:rsidP="009D63A3">
      <w:pPr>
        <w:spacing w:line="240" w:lineRule="auto"/>
        <w:rPr>
          <w:rFonts w:ascii="Arial" w:hAnsi="Arial" w:cs="Arial"/>
          <w:b/>
          <w:sz w:val="20"/>
          <w:szCs w:val="20"/>
        </w:rPr>
      </w:pPr>
      <w:r w:rsidRPr="00271ED7">
        <w:rPr>
          <w:rFonts w:ascii="Arial" w:hAnsi="Arial" w:cs="Arial"/>
          <w:b/>
          <w:sz w:val="20"/>
          <w:szCs w:val="20"/>
        </w:rPr>
        <w:t>Apologies:</w:t>
      </w:r>
    </w:p>
    <w:p w14:paraId="20559567" w14:textId="7A652800" w:rsidR="00271ED7" w:rsidRPr="00271ED7" w:rsidRDefault="00271ED7" w:rsidP="009D63A3">
      <w:pPr>
        <w:spacing w:line="240" w:lineRule="auto"/>
        <w:rPr>
          <w:rFonts w:ascii="Arial" w:hAnsi="Arial" w:cs="Arial"/>
          <w:sz w:val="20"/>
          <w:szCs w:val="20"/>
        </w:rPr>
      </w:pPr>
      <w:r>
        <w:rPr>
          <w:rFonts w:ascii="Arial" w:hAnsi="Arial" w:cs="Arial"/>
          <w:sz w:val="20"/>
          <w:szCs w:val="20"/>
        </w:rPr>
        <w:t>Andrew Black, Liz Cross, Mark Minchin (NICE), Victoria Fitton (NICE)</w:t>
      </w:r>
    </w:p>
    <w:p w14:paraId="5F55D1F9" w14:textId="32AF9771" w:rsidR="00271ED7" w:rsidRPr="00271ED7" w:rsidRDefault="00806F29" w:rsidP="009D63A3">
      <w:pPr>
        <w:spacing w:line="240" w:lineRule="auto"/>
        <w:rPr>
          <w:rFonts w:ascii="Arial" w:hAnsi="Arial" w:cs="Arial"/>
          <w:sz w:val="20"/>
          <w:szCs w:val="20"/>
        </w:rPr>
      </w:pPr>
      <w:r w:rsidRPr="00271ED7">
        <w:rPr>
          <w:rFonts w:ascii="Arial" w:hAnsi="Arial" w:cs="Arial"/>
          <w:b/>
          <w:sz w:val="20"/>
          <w:szCs w:val="20"/>
        </w:rPr>
        <w:t>Quoracy</w:t>
      </w:r>
      <w:r w:rsidRPr="00271ED7">
        <w:rPr>
          <w:rFonts w:cs="Arial"/>
          <w:b/>
          <w:bCs/>
          <w:sz w:val="20"/>
          <w:szCs w:val="20"/>
        </w:rPr>
        <w:t xml:space="preserve">: </w:t>
      </w:r>
      <w:r w:rsidRPr="00271ED7">
        <w:rPr>
          <w:rFonts w:ascii="Arial" w:hAnsi="Arial" w:cs="Arial"/>
          <w:sz w:val="20"/>
          <w:szCs w:val="20"/>
        </w:rPr>
        <w:t xml:space="preserve">The meeting was </w:t>
      </w:r>
      <w:r w:rsidR="000C57B3" w:rsidRPr="00271ED7">
        <w:rPr>
          <w:rFonts w:ascii="Arial" w:hAnsi="Arial" w:cs="Arial"/>
          <w:sz w:val="20"/>
          <w:szCs w:val="20"/>
        </w:rPr>
        <w:t>quorate.</w:t>
      </w:r>
      <w:r w:rsidRPr="00271ED7">
        <w:rPr>
          <w:rFonts w:ascii="Arial" w:hAnsi="Arial" w:cs="Arial"/>
          <w:sz w:val="20"/>
          <w:szCs w:val="20"/>
        </w:rPr>
        <w:t xml:space="preserve"> </w:t>
      </w:r>
    </w:p>
    <w:p w14:paraId="50CAFFEA" w14:textId="15BC9372" w:rsidR="00806F29" w:rsidRPr="00271ED7" w:rsidRDefault="00806F29" w:rsidP="00F80DAB">
      <w:pPr>
        <w:spacing w:line="240" w:lineRule="auto"/>
        <w:rPr>
          <w:rFonts w:ascii="Arial" w:hAnsi="Arial" w:cs="Arial"/>
          <w:b/>
          <w:sz w:val="20"/>
          <w:szCs w:val="20"/>
        </w:rPr>
      </w:pPr>
      <w:r w:rsidRPr="00271ED7">
        <w:rPr>
          <w:rFonts w:ascii="Arial" w:hAnsi="Arial" w:cs="Arial"/>
          <w:b/>
          <w:sz w:val="20"/>
          <w:szCs w:val="20"/>
        </w:rPr>
        <w:t>Outline of the meeting</w:t>
      </w:r>
    </w:p>
    <w:p w14:paraId="2A3DE9BE" w14:textId="43EC2EAD" w:rsidR="00806F29" w:rsidRPr="00271ED7" w:rsidRDefault="00806F29" w:rsidP="00F80DAB">
      <w:pPr>
        <w:spacing w:line="240" w:lineRule="auto"/>
        <w:rPr>
          <w:rFonts w:ascii="Arial" w:hAnsi="Arial" w:cs="Arial"/>
          <w:sz w:val="20"/>
          <w:szCs w:val="20"/>
        </w:rPr>
      </w:pPr>
      <w:r w:rsidRPr="00271ED7">
        <w:rPr>
          <w:rFonts w:ascii="Arial" w:hAnsi="Arial" w:cs="Arial"/>
          <w:sz w:val="20"/>
          <w:szCs w:val="20"/>
        </w:rPr>
        <w:t xml:space="preserve">RC welcomed the attendees and the indicator advisory committee (IAC) members introduced themselves. </w:t>
      </w:r>
    </w:p>
    <w:p w14:paraId="4FD0040C" w14:textId="56C76C0D" w:rsidR="00806F29" w:rsidRPr="00271ED7" w:rsidRDefault="00806F29" w:rsidP="00F80DAB">
      <w:pPr>
        <w:spacing w:line="240" w:lineRule="auto"/>
        <w:rPr>
          <w:rFonts w:ascii="Arial" w:hAnsi="Arial" w:cs="Arial"/>
          <w:b/>
          <w:sz w:val="20"/>
          <w:szCs w:val="20"/>
          <w:lang w:val="en-US"/>
        </w:rPr>
      </w:pPr>
      <w:r w:rsidRPr="00271ED7">
        <w:rPr>
          <w:rFonts w:ascii="Arial" w:hAnsi="Arial" w:cs="Arial"/>
          <w:b/>
          <w:sz w:val="20"/>
          <w:szCs w:val="20"/>
          <w:lang w:val="en-US"/>
        </w:rPr>
        <w:t xml:space="preserve">NICE advisory body declarations of interest </w:t>
      </w:r>
    </w:p>
    <w:p w14:paraId="5454F394" w14:textId="4368A25B" w:rsidR="00806F29" w:rsidRDefault="00806F29" w:rsidP="00F80DAB">
      <w:pPr>
        <w:spacing w:line="240" w:lineRule="auto"/>
        <w:rPr>
          <w:rFonts w:ascii="Arial" w:hAnsi="Arial" w:cs="Arial"/>
          <w:bCs/>
          <w:sz w:val="20"/>
          <w:szCs w:val="20"/>
        </w:rPr>
      </w:pPr>
      <w:r w:rsidRPr="00271ED7">
        <w:rPr>
          <w:rFonts w:ascii="Arial" w:hAnsi="Arial" w:cs="Arial"/>
          <w:bCs/>
          <w:sz w:val="20"/>
          <w:szCs w:val="20"/>
        </w:rPr>
        <w:t xml:space="preserve">RC asked committee members to declare all new interests, that is those not already included in the register of declared interests NICE has on file (and circulated in today’s papers) and all interests related to items under discussion during the meeting. </w:t>
      </w:r>
    </w:p>
    <w:p w14:paraId="0C9793C2" w14:textId="2AE6D665" w:rsidR="000C57B3" w:rsidRDefault="008074B4" w:rsidP="00F80DAB">
      <w:pPr>
        <w:spacing w:line="240" w:lineRule="auto"/>
        <w:rPr>
          <w:rFonts w:ascii="Arial" w:hAnsi="Arial" w:cs="Arial"/>
          <w:bCs/>
          <w:sz w:val="20"/>
          <w:szCs w:val="20"/>
        </w:rPr>
      </w:pPr>
      <w:r>
        <w:rPr>
          <w:rFonts w:ascii="Arial" w:hAnsi="Arial" w:cs="Arial"/>
          <w:bCs/>
          <w:sz w:val="20"/>
          <w:szCs w:val="20"/>
        </w:rPr>
        <w:t>RC</w:t>
      </w:r>
      <w:r w:rsidR="000C57B3">
        <w:rPr>
          <w:rFonts w:ascii="Arial" w:hAnsi="Arial" w:cs="Arial"/>
          <w:bCs/>
          <w:sz w:val="20"/>
          <w:szCs w:val="20"/>
        </w:rPr>
        <w:t xml:space="preserve"> </w:t>
      </w:r>
      <w:r w:rsidR="001328DE">
        <w:rPr>
          <w:rFonts w:ascii="Arial" w:hAnsi="Arial" w:cs="Arial"/>
          <w:bCs/>
          <w:sz w:val="20"/>
          <w:szCs w:val="20"/>
        </w:rPr>
        <w:t>–</w:t>
      </w:r>
      <w:r w:rsidR="000C57B3">
        <w:rPr>
          <w:rFonts w:ascii="Arial" w:hAnsi="Arial" w:cs="Arial"/>
          <w:bCs/>
          <w:sz w:val="20"/>
          <w:szCs w:val="20"/>
        </w:rPr>
        <w:t xml:space="preserve"> </w:t>
      </w:r>
      <w:r w:rsidR="002774AA">
        <w:rPr>
          <w:rFonts w:ascii="Arial" w:hAnsi="Arial" w:cs="Arial"/>
          <w:bCs/>
          <w:sz w:val="20"/>
          <w:szCs w:val="20"/>
        </w:rPr>
        <w:t xml:space="preserve">Appointed </w:t>
      </w:r>
      <w:r w:rsidR="001328DE">
        <w:rPr>
          <w:rFonts w:ascii="Arial" w:hAnsi="Arial" w:cs="Arial"/>
          <w:bCs/>
          <w:sz w:val="20"/>
          <w:szCs w:val="20"/>
        </w:rPr>
        <w:t xml:space="preserve">Deputy Chief Medical Officer at Guy’s and St Thomas’ NHS Foundation Trust for Transformation and Improvement and will </w:t>
      </w:r>
      <w:r w:rsidR="00EF4BA7">
        <w:rPr>
          <w:rFonts w:ascii="Arial" w:hAnsi="Arial" w:cs="Arial"/>
          <w:bCs/>
          <w:sz w:val="20"/>
          <w:szCs w:val="20"/>
        </w:rPr>
        <w:t>potentially</w:t>
      </w:r>
      <w:r w:rsidR="001328DE">
        <w:rPr>
          <w:rFonts w:ascii="Arial" w:hAnsi="Arial" w:cs="Arial"/>
          <w:bCs/>
          <w:sz w:val="20"/>
          <w:szCs w:val="20"/>
        </w:rPr>
        <w:t xml:space="preserve"> see future indicator work that will affect the Trust. </w:t>
      </w:r>
      <w:r w:rsidR="002774AA">
        <w:rPr>
          <w:rFonts w:ascii="Arial" w:hAnsi="Arial" w:cs="Arial"/>
          <w:bCs/>
          <w:sz w:val="20"/>
          <w:szCs w:val="20"/>
        </w:rPr>
        <w:t xml:space="preserve">Had </w:t>
      </w:r>
      <w:r w:rsidR="001328DE">
        <w:rPr>
          <w:rFonts w:ascii="Arial" w:hAnsi="Arial" w:cs="Arial"/>
          <w:bCs/>
          <w:sz w:val="20"/>
          <w:szCs w:val="20"/>
        </w:rPr>
        <w:t xml:space="preserve">a paid advisory board role with Pfizer on respiratory syncytial virus (RSV) vaccines. </w:t>
      </w:r>
    </w:p>
    <w:p w14:paraId="51748FEA" w14:textId="541F45B5" w:rsidR="00731563" w:rsidRPr="00271ED7" w:rsidRDefault="008074B4" w:rsidP="00F80DAB">
      <w:pPr>
        <w:spacing w:line="240" w:lineRule="auto"/>
        <w:rPr>
          <w:rFonts w:ascii="Arial" w:hAnsi="Arial" w:cs="Arial"/>
          <w:bCs/>
          <w:sz w:val="20"/>
          <w:szCs w:val="20"/>
        </w:rPr>
      </w:pPr>
      <w:r>
        <w:rPr>
          <w:rFonts w:ascii="Arial" w:hAnsi="Arial" w:cs="Arial"/>
          <w:bCs/>
          <w:sz w:val="20"/>
          <w:szCs w:val="20"/>
        </w:rPr>
        <w:t>CG</w:t>
      </w:r>
      <w:r w:rsidR="00731563">
        <w:rPr>
          <w:rFonts w:ascii="Arial" w:hAnsi="Arial" w:cs="Arial"/>
          <w:bCs/>
          <w:sz w:val="20"/>
          <w:szCs w:val="20"/>
        </w:rPr>
        <w:t xml:space="preserve"> – Relating to CVD risk assessment: Funded by the British Heart Foundation to devise prediction models for heart conditions such as </w:t>
      </w:r>
      <w:r w:rsidR="00731563" w:rsidRPr="00731563">
        <w:rPr>
          <w:rFonts w:ascii="Arial" w:hAnsi="Arial" w:cs="Arial"/>
          <w:bCs/>
          <w:sz w:val="20"/>
          <w:szCs w:val="20"/>
        </w:rPr>
        <w:t>atrial fibrillation</w:t>
      </w:r>
      <w:r w:rsidR="00731563">
        <w:rPr>
          <w:rFonts w:ascii="Arial" w:hAnsi="Arial" w:cs="Arial"/>
          <w:bCs/>
          <w:sz w:val="20"/>
          <w:szCs w:val="20"/>
        </w:rPr>
        <w:t>.</w:t>
      </w:r>
    </w:p>
    <w:p w14:paraId="6790C47E" w14:textId="30D3F40A" w:rsidR="00806F29" w:rsidRPr="00271ED7" w:rsidRDefault="00806F29" w:rsidP="00F80DAB">
      <w:pPr>
        <w:spacing w:line="240" w:lineRule="auto"/>
        <w:rPr>
          <w:rFonts w:ascii="Arial" w:hAnsi="Arial" w:cs="Arial"/>
          <w:b/>
          <w:sz w:val="20"/>
          <w:szCs w:val="20"/>
        </w:rPr>
      </w:pPr>
      <w:r w:rsidRPr="00271ED7">
        <w:rPr>
          <w:rFonts w:ascii="Arial" w:hAnsi="Arial" w:cs="Arial"/>
          <w:b/>
          <w:sz w:val="20"/>
          <w:szCs w:val="20"/>
        </w:rPr>
        <w:lastRenderedPageBreak/>
        <w:t xml:space="preserve">Item 1 - Review of minutes and actions from </w:t>
      </w:r>
      <w:r w:rsidR="00271ED7">
        <w:rPr>
          <w:rFonts w:ascii="Arial" w:hAnsi="Arial" w:cs="Arial"/>
          <w:b/>
          <w:sz w:val="20"/>
          <w:szCs w:val="20"/>
        </w:rPr>
        <w:t>June</w:t>
      </w:r>
      <w:r w:rsidRPr="00271ED7">
        <w:rPr>
          <w:rFonts w:ascii="Arial" w:hAnsi="Arial" w:cs="Arial"/>
          <w:b/>
          <w:sz w:val="20"/>
          <w:szCs w:val="20"/>
        </w:rPr>
        <w:t xml:space="preserve"> 202</w:t>
      </w:r>
      <w:r w:rsidR="00271ED7">
        <w:rPr>
          <w:rFonts w:ascii="Arial" w:hAnsi="Arial" w:cs="Arial"/>
          <w:b/>
          <w:sz w:val="20"/>
          <w:szCs w:val="20"/>
        </w:rPr>
        <w:t>3</w:t>
      </w:r>
      <w:r w:rsidRPr="00271ED7">
        <w:rPr>
          <w:rFonts w:ascii="Arial" w:hAnsi="Arial" w:cs="Arial"/>
          <w:b/>
          <w:sz w:val="20"/>
          <w:szCs w:val="20"/>
        </w:rPr>
        <w:t xml:space="preserve"> meeting </w:t>
      </w:r>
      <w:r w:rsidR="00EF704A">
        <w:rPr>
          <w:rFonts w:ascii="Arial" w:hAnsi="Arial" w:cs="Arial"/>
          <w:b/>
          <w:sz w:val="20"/>
          <w:szCs w:val="20"/>
        </w:rPr>
        <w:t>and indicator programme update</w:t>
      </w:r>
    </w:p>
    <w:p w14:paraId="1BA54ADC" w14:textId="11C74853" w:rsidR="00806F29" w:rsidRPr="00271ED7" w:rsidRDefault="00271ED7" w:rsidP="00F80DAB">
      <w:pPr>
        <w:spacing w:line="240" w:lineRule="auto"/>
        <w:jc w:val="both"/>
        <w:rPr>
          <w:rFonts w:ascii="Arial" w:hAnsi="Arial" w:cs="Arial"/>
          <w:sz w:val="20"/>
          <w:szCs w:val="20"/>
          <w:lang w:val="en-US"/>
        </w:rPr>
      </w:pPr>
      <w:r>
        <w:rPr>
          <w:rFonts w:ascii="Arial" w:hAnsi="Arial" w:cs="Arial"/>
          <w:sz w:val="20"/>
          <w:szCs w:val="20"/>
          <w:lang w:val="en-US"/>
        </w:rPr>
        <w:t>CDG</w:t>
      </w:r>
      <w:r w:rsidR="00806F29" w:rsidRPr="00271ED7">
        <w:rPr>
          <w:rFonts w:ascii="Arial" w:hAnsi="Arial" w:cs="Arial"/>
          <w:sz w:val="20"/>
          <w:szCs w:val="20"/>
          <w:lang w:val="en-US"/>
        </w:rPr>
        <w:t xml:space="preserve"> informed the committee that all actions from the last committee meeting in </w:t>
      </w:r>
      <w:r>
        <w:rPr>
          <w:rFonts w:ascii="Arial" w:hAnsi="Arial" w:cs="Arial"/>
          <w:sz w:val="20"/>
          <w:szCs w:val="20"/>
          <w:lang w:val="en-US"/>
        </w:rPr>
        <w:t>June 2023</w:t>
      </w:r>
      <w:r w:rsidR="00806F29" w:rsidRPr="00271ED7">
        <w:rPr>
          <w:rFonts w:ascii="Arial" w:hAnsi="Arial" w:cs="Arial"/>
          <w:sz w:val="20"/>
          <w:szCs w:val="20"/>
          <w:lang w:val="en-US"/>
        </w:rPr>
        <w:t xml:space="preserve"> had been </w:t>
      </w:r>
      <w:r w:rsidR="008074B4">
        <w:rPr>
          <w:rFonts w:ascii="Arial" w:hAnsi="Arial" w:cs="Arial"/>
          <w:sz w:val="20"/>
          <w:szCs w:val="20"/>
          <w:lang w:val="en-US"/>
        </w:rPr>
        <w:t>completed</w:t>
      </w:r>
      <w:r w:rsidR="00806F29" w:rsidRPr="00271ED7">
        <w:rPr>
          <w:rFonts w:ascii="Arial" w:hAnsi="Arial" w:cs="Arial"/>
          <w:sz w:val="20"/>
          <w:szCs w:val="20"/>
          <w:lang w:val="en-US"/>
        </w:rPr>
        <w:t xml:space="preserve"> or were included in today’s agenda. </w:t>
      </w:r>
    </w:p>
    <w:p w14:paraId="3889252C" w14:textId="2690E370" w:rsidR="00806F29" w:rsidRDefault="00806F29" w:rsidP="00F80DAB">
      <w:pPr>
        <w:spacing w:line="240" w:lineRule="auto"/>
        <w:jc w:val="both"/>
        <w:rPr>
          <w:rFonts w:ascii="Arial" w:hAnsi="Arial" w:cs="Arial"/>
          <w:sz w:val="20"/>
          <w:szCs w:val="20"/>
          <w:lang w:val="en-US"/>
        </w:rPr>
      </w:pPr>
      <w:r w:rsidRPr="00271ED7">
        <w:rPr>
          <w:rFonts w:ascii="Arial" w:hAnsi="Arial" w:cs="Arial"/>
          <w:sz w:val="20"/>
          <w:szCs w:val="20"/>
          <w:lang w:val="en-US"/>
        </w:rPr>
        <w:t xml:space="preserve">The </w:t>
      </w:r>
      <w:r w:rsidR="00271ED7">
        <w:rPr>
          <w:rFonts w:ascii="Arial" w:hAnsi="Arial" w:cs="Arial"/>
          <w:sz w:val="20"/>
          <w:szCs w:val="20"/>
          <w:lang w:val="en-US"/>
        </w:rPr>
        <w:t>June</w:t>
      </w:r>
      <w:r w:rsidRPr="00271ED7">
        <w:rPr>
          <w:rFonts w:ascii="Arial" w:hAnsi="Arial" w:cs="Arial"/>
          <w:sz w:val="20"/>
          <w:szCs w:val="20"/>
          <w:lang w:val="en-US"/>
        </w:rPr>
        <w:t xml:space="preserve"> 202</w:t>
      </w:r>
      <w:r w:rsidR="00271ED7">
        <w:rPr>
          <w:rFonts w:ascii="Arial" w:hAnsi="Arial" w:cs="Arial"/>
          <w:sz w:val="20"/>
          <w:szCs w:val="20"/>
          <w:lang w:val="en-US"/>
        </w:rPr>
        <w:t>3</w:t>
      </w:r>
      <w:r w:rsidRPr="00271ED7">
        <w:rPr>
          <w:rFonts w:ascii="Arial" w:hAnsi="Arial" w:cs="Arial"/>
          <w:sz w:val="20"/>
          <w:szCs w:val="20"/>
          <w:lang w:val="en-US"/>
        </w:rPr>
        <w:t xml:space="preserve"> minutes were approved by the committee as an accurate record.</w:t>
      </w:r>
    </w:p>
    <w:p w14:paraId="454280B2" w14:textId="20EDB626" w:rsidR="00CB6FAC" w:rsidRDefault="00CB6FAC" w:rsidP="00F80DAB">
      <w:pPr>
        <w:spacing w:line="240" w:lineRule="auto"/>
        <w:jc w:val="both"/>
        <w:rPr>
          <w:rFonts w:ascii="Arial" w:hAnsi="Arial" w:cs="Arial"/>
          <w:sz w:val="20"/>
          <w:szCs w:val="20"/>
          <w:lang w:val="en-US"/>
        </w:rPr>
      </w:pPr>
      <w:r>
        <w:rPr>
          <w:rFonts w:ascii="Arial" w:hAnsi="Arial" w:cs="Arial"/>
          <w:sz w:val="20"/>
          <w:szCs w:val="20"/>
          <w:lang w:val="en-US"/>
        </w:rPr>
        <w:t xml:space="preserve">The committee suggested that future </w:t>
      </w:r>
      <w:r w:rsidR="00760780">
        <w:rPr>
          <w:rFonts w:ascii="Arial" w:hAnsi="Arial" w:cs="Arial"/>
          <w:sz w:val="20"/>
          <w:szCs w:val="20"/>
          <w:lang w:val="en-US"/>
        </w:rPr>
        <w:t xml:space="preserve">closed sessions be recorded in the minutes and distributed internally only. </w:t>
      </w:r>
    </w:p>
    <w:p w14:paraId="438AC24B" w14:textId="3F6C3A12" w:rsidR="00760780" w:rsidRDefault="00760780" w:rsidP="00F80DAB">
      <w:pPr>
        <w:spacing w:line="240" w:lineRule="auto"/>
        <w:jc w:val="both"/>
        <w:rPr>
          <w:rFonts w:ascii="Arial" w:hAnsi="Arial" w:cs="Arial"/>
          <w:sz w:val="20"/>
          <w:szCs w:val="20"/>
          <w:lang w:val="en-US"/>
        </w:rPr>
      </w:pPr>
      <w:r w:rsidRPr="00760780">
        <w:rPr>
          <w:rFonts w:ascii="Arial" w:hAnsi="Arial" w:cs="Arial"/>
          <w:b/>
          <w:bCs/>
          <w:sz w:val="20"/>
          <w:szCs w:val="20"/>
          <w:lang w:val="en-US"/>
        </w:rPr>
        <w:t>ACTION:</w:t>
      </w:r>
      <w:r>
        <w:rPr>
          <w:rFonts w:ascii="Arial" w:hAnsi="Arial" w:cs="Arial"/>
          <w:sz w:val="20"/>
          <w:szCs w:val="20"/>
          <w:lang w:val="en-US"/>
        </w:rPr>
        <w:t xml:space="preserve"> </w:t>
      </w:r>
      <w:r w:rsidRPr="00C134B4">
        <w:rPr>
          <w:rFonts w:ascii="Arial" w:hAnsi="Arial" w:cs="Arial"/>
          <w:b/>
          <w:bCs/>
          <w:sz w:val="20"/>
          <w:szCs w:val="20"/>
          <w:lang w:val="en-US"/>
        </w:rPr>
        <w:t>NICE team to minute future closed sessions for distribution to the committee.</w:t>
      </w:r>
      <w:r>
        <w:rPr>
          <w:rFonts w:ascii="Arial" w:hAnsi="Arial" w:cs="Arial"/>
          <w:sz w:val="20"/>
          <w:szCs w:val="20"/>
          <w:lang w:val="en-US"/>
        </w:rPr>
        <w:t xml:space="preserve"> </w:t>
      </w:r>
    </w:p>
    <w:p w14:paraId="4D300FE1" w14:textId="5901EBE6" w:rsidR="00EF704A" w:rsidRPr="00760780" w:rsidRDefault="00EF704A" w:rsidP="00F80DAB">
      <w:pPr>
        <w:spacing w:line="240" w:lineRule="auto"/>
        <w:jc w:val="both"/>
        <w:rPr>
          <w:rFonts w:ascii="Arial" w:hAnsi="Arial" w:cs="Arial"/>
          <w:b/>
          <w:bCs/>
          <w:sz w:val="20"/>
          <w:szCs w:val="20"/>
          <w:lang w:val="en-US"/>
        </w:rPr>
      </w:pPr>
      <w:r>
        <w:rPr>
          <w:rFonts w:ascii="Arial" w:hAnsi="Arial" w:cs="Arial"/>
          <w:sz w:val="20"/>
          <w:szCs w:val="20"/>
          <w:lang w:val="en-US"/>
        </w:rPr>
        <w:t>CDG updated the committee noting that piloting will be conducted via NEQOS depending on the number of indicators progressed at this meeting.</w:t>
      </w:r>
    </w:p>
    <w:p w14:paraId="0F137797" w14:textId="2DA12100" w:rsidR="00806F29" w:rsidRDefault="00806F29" w:rsidP="00F80DAB">
      <w:pPr>
        <w:tabs>
          <w:tab w:val="left" w:pos="709"/>
        </w:tabs>
        <w:spacing w:line="240" w:lineRule="auto"/>
        <w:rPr>
          <w:rFonts w:ascii="Arial" w:hAnsi="Arial" w:cs="Arial"/>
          <w:b/>
          <w:bCs/>
          <w:sz w:val="20"/>
          <w:szCs w:val="20"/>
        </w:rPr>
      </w:pPr>
      <w:r w:rsidRPr="00271ED7">
        <w:rPr>
          <w:rFonts w:ascii="Arial" w:hAnsi="Arial" w:cs="Arial"/>
          <w:b/>
          <w:bCs/>
          <w:sz w:val="20"/>
          <w:szCs w:val="20"/>
        </w:rPr>
        <w:t xml:space="preserve">Item 2 – </w:t>
      </w:r>
      <w:r w:rsidR="00EF704A">
        <w:rPr>
          <w:rFonts w:ascii="Arial" w:hAnsi="Arial" w:cs="Arial"/>
          <w:b/>
          <w:bCs/>
          <w:sz w:val="20"/>
          <w:szCs w:val="20"/>
        </w:rPr>
        <w:t xml:space="preserve">Learning disability health action plans </w:t>
      </w:r>
    </w:p>
    <w:p w14:paraId="4CD9303B" w14:textId="5FFB7B00" w:rsidR="000450B0" w:rsidRDefault="000450B0" w:rsidP="00F80DAB">
      <w:pPr>
        <w:tabs>
          <w:tab w:val="left" w:pos="709"/>
        </w:tabs>
        <w:spacing w:line="240" w:lineRule="auto"/>
        <w:rPr>
          <w:rFonts w:ascii="Arial" w:hAnsi="Arial" w:cs="Arial"/>
          <w:sz w:val="20"/>
          <w:szCs w:val="20"/>
        </w:rPr>
      </w:pPr>
      <w:r>
        <w:rPr>
          <w:rFonts w:ascii="Arial" w:hAnsi="Arial" w:cs="Arial"/>
          <w:sz w:val="20"/>
          <w:szCs w:val="20"/>
        </w:rPr>
        <w:t>CDG presented to the committee two indicators on learning disability action plans that were discussed at the previous committee meeting:</w:t>
      </w:r>
    </w:p>
    <w:p w14:paraId="2358E5E2" w14:textId="27360F4E" w:rsidR="000450B0" w:rsidRPr="000450B0" w:rsidRDefault="000450B0" w:rsidP="00F80DAB">
      <w:pPr>
        <w:tabs>
          <w:tab w:val="left" w:pos="709"/>
        </w:tabs>
        <w:spacing w:line="240" w:lineRule="auto"/>
        <w:rPr>
          <w:rFonts w:ascii="Arial" w:hAnsi="Arial" w:cs="Arial"/>
          <w:i/>
          <w:iCs/>
          <w:sz w:val="20"/>
          <w:szCs w:val="20"/>
        </w:rPr>
      </w:pPr>
      <w:r w:rsidRPr="000450B0">
        <w:rPr>
          <w:rFonts w:ascii="Arial" w:hAnsi="Arial" w:cs="Arial"/>
          <w:i/>
          <w:iCs/>
          <w:sz w:val="20"/>
          <w:szCs w:val="20"/>
        </w:rPr>
        <w:t>IND2022-129: The percentage of patients on the learning disability register aged 14 or over, who received a learning disability health check and a completed health action plan in the preceding 12 months</w:t>
      </w:r>
      <w:r>
        <w:rPr>
          <w:rFonts w:ascii="Arial" w:hAnsi="Arial" w:cs="Arial"/>
          <w:i/>
          <w:iCs/>
          <w:sz w:val="20"/>
          <w:szCs w:val="20"/>
        </w:rPr>
        <w:t>.</w:t>
      </w:r>
    </w:p>
    <w:p w14:paraId="735829BD" w14:textId="548B4ACD" w:rsidR="000450B0" w:rsidRDefault="000450B0" w:rsidP="00F80DAB">
      <w:pPr>
        <w:tabs>
          <w:tab w:val="left" w:pos="709"/>
        </w:tabs>
        <w:spacing w:line="240" w:lineRule="auto"/>
        <w:rPr>
          <w:rFonts w:ascii="Arial" w:hAnsi="Arial" w:cs="Arial"/>
          <w:i/>
          <w:iCs/>
          <w:sz w:val="20"/>
          <w:szCs w:val="20"/>
        </w:rPr>
      </w:pPr>
      <w:r w:rsidRPr="000450B0">
        <w:rPr>
          <w:rFonts w:ascii="Arial" w:hAnsi="Arial" w:cs="Arial"/>
          <w:i/>
          <w:iCs/>
          <w:sz w:val="20"/>
          <w:szCs w:val="20"/>
        </w:rPr>
        <w:t xml:space="preserve">IND2023-152: The percentage of patients on the learning disability register aged 14 or over, who, received a learning disability health check and a completed health action plan in the preceding 12 months </w:t>
      </w:r>
      <w:proofErr w:type="gramStart"/>
      <w:r w:rsidRPr="000450B0">
        <w:rPr>
          <w:rFonts w:ascii="Arial" w:hAnsi="Arial" w:cs="Arial"/>
          <w:i/>
          <w:iCs/>
          <w:sz w:val="20"/>
          <w:szCs w:val="20"/>
        </w:rPr>
        <w:t>and,</w:t>
      </w:r>
      <w:proofErr w:type="gramEnd"/>
      <w:r w:rsidRPr="000450B0">
        <w:rPr>
          <w:rFonts w:ascii="Arial" w:hAnsi="Arial" w:cs="Arial"/>
          <w:i/>
          <w:iCs/>
          <w:sz w:val="20"/>
          <w:szCs w:val="20"/>
        </w:rPr>
        <w:t xml:space="preserve"> have a recording of ethnicity.</w:t>
      </w:r>
    </w:p>
    <w:p w14:paraId="3BBB58F6" w14:textId="6571B9BF" w:rsidR="002774AA" w:rsidRDefault="000450B0" w:rsidP="00F80DAB">
      <w:pPr>
        <w:tabs>
          <w:tab w:val="left" w:pos="709"/>
        </w:tabs>
        <w:spacing w:line="240" w:lineRule="auto"/>
        <w:rPr>
          <w:rFonts w:ascii="Arial" w:hAnsi="Arial" w:cs="Arial"/>
          <w:sz w:val="20"/>
          <w:szCs w:val="20"/>
        </w:rPr>
      </w:pPr>
      <w:r>
        <w:rPr>
          <w:rFonts w:ascii="Arial" w:hAnsi="Arial" w:cs="Arial"/>
          <w:sz w:val="20"/>
          <w:szCs w:val="20"/>
        </w:rPr>
        <w:t xml:space="preserve">CDG </w:t>
      </w:r>
      <w:r w:rsidR="0082699C">
        <w:rPr>
          <w:rFonts w:ascii="Arial" w:hAnsi="Arial" w:cs="Arial"/>
          <w:sz w:val="20"/>
          <w:szCs w:val="20"/>
        </w:rPr>
        <w:t xml:space="preserve">gave a recap that both indicators </w:t>
      </w:r>
      <w:r w:rsidR="008074B4">
        <w:rPr>
          <w:rFonts w:ascii="Arial" w:hAnsi="Arial" w:cs="Arial"/>
          <w:sz w:val="20"/>
          <w:szCs w:val="20"/>
        </w:rPr>
        <w:t>were supported at</w:t>
      </w:r>
      <w:r w:rsidR="0082699C">
        <w:rPr>
          <w:rFonts w:ascii="Arial" w:hAnsi="Arial" w:cs="Arial"/>
          <w:sz w:val="20"/>
          <w:szCs w:val="20"/>
        </w:rPr>
        <w:t xml:space="preserve"> </w:t>
      </w:r>
      <w:proofErr w:type="gramStart"/>
      <w:r w:rsidR="0082699C">
        <w:rPr>
          <w:rFonts w:ascii="Arial" w:hAnsi="Arial" w:cs="Arial"/>
          <w:sz w:val="20"/>
          <w:szCs w:val="20"/>
        </w:rPr>
        <w:t>consultation</w:t>
      </w:r>
      <w:proofErr w:type="gramEnd"/>
      <w:r w:rsidR="0082699C">
        <w:rPr>
          <w:rFonts w:ascii="Arial" w:hAnsi="Arial" w:cs="Arial"/>
          <w:sz w:val="20"/>
          <w:szCs w:val="20"/>
        </w:rPr>
        <w:t xml:space="preserve"> </w:t>
      </w:r>
      <w:r w:rsidR="008074B4">
        <w:rPr>
          <w:rFonts w:ascii="Arial" w:hAnsi="Arial" w:cs="Arial"/>
          <w:sz w:val="20"/>
          <w:szCs w:val="20"/>
        </w:rPr>
        <w:t>but</w:t>
      </w:r>
      <w:r w:rsidR="0082699C">
        <w:rPr>
          <w:rFonts w:ascii="Arial" w:hAnsi="Arial" w:cs="Arial"/>
          <w:sz w:val="20"/>
          <w:szCs w:val="20"/>
        </w:rPr>
        <w:t xml:space="preserve"> the committee required clarification as to whether they could include children under 14</w:t>
      </w:r>
      <w:r w:rsidR="006929D5">
        <w:rPr>
          <w:rFonts w:ascii="Arial" w:hAnsi="Arial" w:cs="Arial"/>
          <w:sz w:val="20"/>
          <w:szCs w:val="20"/>
        </w:rPr>
        <w:t xml:space="preserve"> due to strong stakeholder support</w:t>
      </w:r>
      <w:r w:rsidR="0082699C">
        <w:rPr>
          <w:rFonts w:ascii="Arial" w:hAnsi="Arial" w:cs="Arial"/>
          <w:sz w:val="20"/>
          <w:szCs w:val="20"/>
        </w:rPr>
        <w:t>, noting that the current Q</w:t>
      </w:r>
      <w:r w:rsidR="00F54241">
        <w:rPr>
          <w:rFonts w:ascii="Arial" w:hAnsi="Arial" w:cs="Arial"/>
          <w:sz w:val="20"/>
          <w:szCs w:val="20"/>
        </w:rPr>
        <w:t xml:space="preserve">uality </w:t>
      </w:r>
      <w:r w:rsidR="0082699C">
        <w:rPr>
          <w:rFonts w:ascii="Arial" w:hAnsi="Arial" w:cs="Arial"/>
          <w:sz w:val="20"/>
          <w:szCs w:val="20"/>
        </w:rPr>
        <w:t>O</w:t>
      </w:r>
      <w:r w:rsidR="00F54241">
        <w:rPr>
          <w:rFonts w:ascii="Arial" w:hAnsi="Arial" w:cs="Arial"/>
          <w:sz w:val="20"/>
          <w:szCs w:val="20"/>
        </w:rPr>
        <w:t xml:space="preserve">utcomes </w:t>
      </w:r>
      <w:r w:rsidR="0082699C">
        <w:rPr>
          <w:rFonts w:ascii="Arial" w:hAnsi="Arial" w:cs="Arial"/>
          <w:sz w:val="20"/>
          <w:szCs w:val="20"/>
        </w:rPr>
        <w:t>F</w:t>
      </w:r>
      <w:r w:rsidR="00F54241">
        <w:rPr>
          <w:rFonts w:ascii="Arial" w:hAnsi="Arial" w:cs="Arial"/>
          <w:sz w:val="20"/>
          <w:szCs w:val="20"/>
        </w:rPr>
        <w:t>ramework (QOF)</w:t>
      </w:r>
      <w:r w:rsidR="0082699C">
        <w:rPr>
          <w:rFonts w:ascii="Arial" w:hAnsi="Arial" w:cs="Arial"/>
          <w:sz w:val="20"/>
          <w:szCs w:val="20"/>
        </w:rPr>
        <w:t xml:space="preserve"> register does not exclude this group. </w:t>
      </w:r>
      <w:r w:rsidR="002774AA">
        <w:rPr>
          <w:rFonts w:ascii="Arial" w:hAnsi="Arial" w:cs="Arial"/>
          <w:sz w:val="20"/>
          <w:szCs w:val="20"/>
        </w:rPr>
        <w:t>NICE’s a</w:t>
      </w:r>
      <w:r w:rsidR="0082699C">
        <w:rPr>
          <w:rFonts w:ascii="Arial" w:hAnsi="Arial" w:cs="Arial"/>
          <w:sz w:val="20"/>
          <w:szCs w:val="20"/>
        </w:rPr>
        <w:t xml:space="preserve">nalysis of data showed </w:t>
      </w:r>
      <w:r w:rsidR="008074B4">
        <w:rPr>
          <w:rFonts w:ascii="Arial" w:hAnsi="Arial" w:cs="Arial"/>
          <w:sz w:val="20"/>
          <w:szCs w:val="20"/>
        </w:rPr>
        <w:t xml:space="preserve">that inclusion of </w:t>
      </w:r>
      <w:r w:rsidR="0082699C">
        <w:rPr>
          <w:rFonts w:ascii="Arial" w:hAnsi="Arial" w:cs="Arial"/>
          <w:sz w:val="20"/>
          <w:szCs w:val="20"/>
        </w:rPr>
        <w:t>under 14s would add approximately 6 patients for an average practice of 10</w:t>
      </w:r>
      <w:r w:rsidR="008074B4">
        <w:rPr>
          <w:rFonts w:ascii="Arial" w:hAnsi="Arial" w:cs="Arial"/>
          <w:sz w:val="20"/>
          <w:szCs w:val="20"/>
        </w:rPr>
        <w:t>,000</w:t>
      </w:r>
      <w:r w:rsidR="0082699C">
        <w:rPr>
          <w:rFonts w:ascii="Arial" w:hAnsi="Arial" w:cs="Arial"/>
          <w:sz w:val="20"/>
          <w:szCs w:val="20"/>
        </w:rPr>
        <w:t xml:space="preserve">. </w:t>
      </w:r>
      <w:r w:rsidR="002774AA">
        <w:rPr>
          <w:rFonts w:ascii="Arial" w:hAnsi="Arial" w:cs="Arial"/>
          <w:sz w:val="20"/>
          <w:szCs w:val="20"/>
        </w:rPr>
        <w:t xml:space="preserve">It was noted that </w:t>
      </w:r>
      <w:r w:rsidR="008074B4">
        <w:rPr>
          <w:rFonts w:ascii="Arial" w:hAnsi="Arial" w:cs="Arial"/>
          <w:sz w:val="20"/>
          <w:szCs w:val="20"/>
        </w:rPr>
        <w:t xml:space="preserve">data from </w:t>
      </w:r>
      <w:r w:rsidR="002774AA">
        <w:rPr>
          <w:rFonts w:ascii="Arial" w:hAnsi="Arial" w:cs="Arial"/>
          <w:sz w:val="20"/>
          <w:szCs w:val="20"/>
        </w:rPr>
        <w:t xml:space="preserve">the </w:t>
      </w:r>
      <w:r w:rsidR="002774AA" w:rsidRPr="0082699C">
        <w:rPr>
          <w:rFonts w:ascii="Arial" w:hAnsi="Arial" w:cs="Arial"/>
          <w:sz w:val="20"/>
          <w:szCs w:val="20"/>
        </w:rPr>
        <w:t>Clinical Practice Research Datalink</w:t>
      </w:r>
      <w:r w:rsidR="002774AA">
        <w:rPr>
          <w:rFonts w:ascii="Arial" w:hAnsi="Arial" w:cs="Arial"/>
          <w:sz w:val="20"/>
          <w:szCs w:val="20"/>
        </w:rPr>
        <w:t xml:space="preserve">, </w:t>
      </w:r>
      <w:r w:rsidR="008074B4">
        <w:rPr>
          <w:rFonts w:ascii="Arial" w:hAnsi="Arial" w:cs="Arial"/>
          <w:sz w:val="20"/>
          <w:szCs w:val="20"/>
        </w:rPr>
        <w:t xml:space="preserve">showed </w:t>
      </w:r>
      <w:r w:rsidR="005C167A">
        <w:rPr>
          <w:rFonts w:ascii="Arial" w:hAnsi="Arial" w:cs="Arial"/>
          <w:sz w:val="20"/>
          <w:szCs w:val="20"/>
        </w:rPr>
        <w:t xml:space="preserve">that </w:t>
      </w:r>
      <w:r w:rsidR="008074B4">
        <w:rPr>
          <w:rFonts w:ascii="Arial" w:hAnsi="Arial" w:cs="Arial"/>
          <w:sz w:val="20"/>
          <w:szCs w:val="20"/>
        </w:rPr>
        <w:t xml:space="preserve">small numbers of </w:t>
      </w:r>
      <w:r w:rsidR="002774AA" w:rsidRPr="0082699C">
        <w:rPr>
          <w:rFonts w:ascii="Arial" w:hAnsi="Arial" w:cs="Arial"/>
          <w:sz w:val="20"/>
          <w:szCs w:val="20"/>
        </w:rPr>
        <w:t>children under 14 with a learning disability code had a record of a health check or action plan in the preceding 12 months</w:t>
      </w:r>
      <w:r w:rsidR="002774AA">
        <w:rPr>
          <w:rFonts w:ascii="Arial" w:hAnsi="Arial" w:cs="Arial"/>
          <w:sz w:val="20"/>
          <w:szCs w:val="20"/>
        </w:rPr>
        <w:t xml:space="preserve">; overall performance would </w:t>
      </w:r>
      <w:r w:rsidR="008074B4">
        <w:rPr>
          <w:rFonts w:ascii="Arial" w:hAnsi="Arial" w:cs="Arial"/>
          <w:sz w:val="20"/>
          <w:szCs w:val="20"/>
        </w:rPr>
        <w:t xml:space="preserve">therefore </w:t>
      </w:r>
      <w:r w:rsidR="002774AA">
        <w:rPr>
          <w:rFonts w:ascii="Arial" w:hAnsi="Arial" w:cs="Arial"/>
          <w:sz w:val="20"/>
          <w:szCs w:val="20"/>
        </w:rPr>
        <w:t xml:space="preserve">be brought down but it would not be substantial. It was </w:t>
      </w:r>
      <w:r w:rsidR="0036774D">
        <w:rPr>
          <w:rFonts w:ascii="Arial" w:hAnsi="Arial" w:cs="Arial"/>
          <w:sz w:val="20"/>
          <w:szCs w:val="20"/>
        </w:rPr>
        <w:t>heard</w:t>
      </w:r>
      <w:r w:rsidR="002774AA">
        <w:rPr>
          <w:rFonts w:ascii="Arial" w:hAnsi="Arial" w:cs="Arial"/>
          <w:sz w:val="20"/>
          <w:szCs w:val="20"/>
        </w:rPr>
        <w:t xml:space="preserve"> that d</w:t>
      </w:r>
      <w:r w:rsidR="002774AA" w:rsidRPr="0082699C">
        <w:rPr>
          <w:rFonts w:ascii="Arial" w:hAnsi="Arial" w:cs="Arial"/>
          <w:sz w:val="20"/>
          <w:szCs w:val="20"/>
        </w:rPr>
        <w:t>irections for the Primary Medical Services Directed Enhanced Services only require provision of an annual learning disability health check for people aged 14 years and over</w:t>
      </w:r>
      <w:r w:rsidR="002774AA">
        <w:rPr>
          <w:rFonts w:ascii="Arial" w:hAnsi="Arial" w:cs="Arial"/>
          <w:sz w:val="20"/>
          <w:szCs w:val="20"/>
        </w:rPr>
        <w:t xml:space="preserve">. It was noted that this may cause confusion </w:t>
      </w:r>
      <w:r w:rsidR="00246682">
        <w:rPr>
          <w:rFonts w:ascii="Arial" w:hAnsi="Arial" w:cs="Arial"/>
          <w:sz w:val="20"/>
          <w:szCs w:val="20"/>
        </w:rPr>
        <w:t xml:space="preserve">by proceeding an indicator for under 14s as it is not currently a </w:t>
      </w:r>
      <w:r w:rsidR="006929D5">
        <w:rPr>
          <w:rFonts w:ascii="Arial" w:hAnsi="Arial" w:cs="Arial"/>
          <w:sz w:val="20"/>
          <w:szCs w:val="20"/>
        </w:rPr>
        <w:t xml:space="preserve">contractual </w:t>
      </w:r>
      <w:r w:rsidR="00246682">
        <w:rPr>
          <w:rFonts w:ascii="Arial" w:hAnsi="Arial" w:cs="Arial"/>
          <w:sz w:val="20"/>
          <w:szCs w:val="20"/>
        </w:rPr>
        <w:t xml:space="preserve">requirement which may need to be changed to avoid having two indicators covering different populations. </w:t>
      </w:r>
    </w:p>
    <w:p w14:paraId="7421192E" w14:textId="2BBC2D9B" w:rsidR="00D1604D" w:rsidRDefault="00D16854" w:rsidP="00F80DAB">
      <w:pPr>
        <w:tabs>
          <w:tab w:val="left" w:pos="709"/>
        </w:tabs>
        <w:spacing w:line="240" w:lineRule="auto"/>
        <w:rPr>
          <w:rFonts w:ascii="Arial" w:hAnsi="Arial" w:cs="Arial"/>
          <w:sz w:val="20"/>
          <w:szCs w:val="20"/>
        </w:rPr>
      </w:pPr>
      <w:r>
        <w:rPr>
          <w:rFonts w:ascii="Arial" w:hAnsi="Arial" w:cs="Arial"/>
          <w:sz w:val="20"/>
          <w:szCs w:val="20"/>
        </w:rPr>
        <w:t xml:space="preserve">It was noted that children under 14 with severe learning disabilities will already be picked up by child development services and will have regular follow </w:t>
      </w:r>
      <w:r w:rsidR="00987AE1">
        <w:rPr>
          <w:rFonts w:ascii="Arial" w:hAnsi="Arial" w:cs="Arial"/>
          <w:sz w:val="20"/>
          <w:szCs w:val="20"/>
        </w:rPr>
        <w:t>ups,</w:t>
      </w:r>
      <w:r>
        <w:rPr>
          <w:rFonts w:ascii="Arial" w:hAnsi="Arial" w:cs="Arial"/>
          <w:sz w:val="20"/>
          <w:szCs w:val="20"/>
        </w:rPr>
        <w:t xml:space="preserve"> though these will be less than annual</w:t>
      </w:r>
      <w:r w:rsidR="00987AE1">
        <w:rPr>
          <w:rFonts w:ascii="Arial" w:hAnsi="Arial" w:cs="Arial"/>
          <w:sz w:val="20"/>
          <w:szCs w:val="20"/>
        </w:rPr>
        <w:t>. It was highlighted that children with mild learning disabilities will not have this level of support</w:t>
      </w:r>
      <w:r w:rsidR="006929D5">
        <w:rPr>
          <w:rFonts w:ascii="Arial" w:hAnsi="Arial" w:cs="Arial"/>
          <w:sz w:val="20"/>
          <w:szCs w:val="20"/>
        </w:rPr>
        <w:t xml:space="preserve">. </w:t>
      </w:r>
    </w:p>
    <w:p w14:paraId="62DFCAB4" w14:textId="49BE2B99" w:rsidR="002774AA" w:rsidRPr="0082699C" w:rsidRDefault="006F65AE" w:rsidP="00F80DAB">
      <w:pPr>
        <w:tabs>
          <w:tab w:val="left" w:pos="709"/>
        </w:tabs>
        <w:spacing w:line="240" w:lineRule="auto"/>
        <w:rPr>
          <w:rFonts w:ascii="Arial" w:hAnsi="Arial" w:cs="Arial"/>
          <w:sz w:val="20"/>
          <w:szCs w:val="20"/>
        </w:rPr>
      </w:pPr>
      <w:r>
        <w:rPr>
          <w:rFonts w:ascii="Arial" w:hAnsi="Arial" w:cs="Arial"/>
          <w:sz w:val="20"/>
          <w:szCs w:val="20"/>
        </w:rPr>
        <w:t xml:space="preserve">It was suggested that NHS England be informed of need of </w:t>
      </w:r>
      <w:r w:rsidR="008074B4">
        <w:rPr>
          <w:rFonts w:ascii="Arial" w:hAnsi="Arial" w:cs="Arial"/>
          <w:sz w:val="20"/>
          <w:szCs w:val="20"/>
        </w:rPr>
        <w:t xml:space="preserve">a </w:t>
      </w:r>
      <w:r>
        <w:rPr>
          <w:rFonts w:ascii="Arial" w:hAnsi="Arial" w:cs="Arial"/>
          <w:sz w:val="20"/>
          <w:szCs w:val="20"/>
        </w:rPr>
        <w:t>contract change to support</w:t>
      </w:r>
      <w:r w:rsidR="008074B4">
        <w:rPr>
          <w:rFonts w:ascii="Arial" w:hAnsi="Arial" w:cs="Arial"/>
          <w:sz w:val="20"/>
          <w:szCs w:val="20"/>
        </w:rPr>
        <w:t xml:space="preserve"> provision of health checks for</w:t>
      </w:r>
      <w:r>
        <w:rPr>
          <w:rFonts w:ascii="Arial" w:hAnsi="Arial" w:cs="Arial"/>
          <w:sz w:val="20"/>
          <w:szCs w:val="20"/>
        </w:rPr>
        <w:t xml:space="preserve"> all ages for both indicators </w:t>
      </w:r>
      <w:r w:rsidR="008074B4">
        <w:rPr>
          <w:rFonts w:ascii="Arial" w:hAnsi="Arial" w:cs="Arial"/>
          <w:sz w:val="20"/>
          <w:szCs w:val="20"/>
        </w:rPr>
        <w:t>if either indicator is included in QOF</w:t>
      </w:r>
      <w:r>
        <w:rPr>
          <w:rFonts w:ascii="Arial" w:hAnsi="Arial" w:cs="Arial"/>
          <w:sz w:val="20"/>
          <w:szCs w:val="20"/>
        </w:rPr>
        <w:t>.</w:t>
      </w:r>
      <w:r w:rsidR="00D04D5B">
        <w:rPr>
          <w:rFonts w:ascii="Arial" w:hAnsi="Arial" w:cs="Arial"/>
          <w:sz w:val="20"/>
          <w:szCs w:val="20"/>
        </w:rPr>
        <w:t xml:space="preserve"> Concerns were raised that the health checks conducted </w:t>
      </w:r>
      <w:r w:rsidR="00E1136B">
        <w:rPr>
          <w:rFonts w:ascii="Arial" w:hAnsi="Arial" w:cs="Arial"/>
          <w:sz w:val="20"/>
          <w:szCs w:val="20"/>
        </w:rPr>
        <w:t>currently</w:t>
      </w:r>
      <w:r w:rsidR="00D04D5B">
        <w:rPr>
          <w:rFonts w:ascii="Arial" w:hAnsi="Arial" w:cs="Arial"/>
          <w:sz w:val="20"/>
          <w:szCs w:val="20"/>
        </w:rPr>
        <w:t xml:space="preserve"> are too generic and that those under 14 for example may need a more tailored approach.</w:t>
      </w:r>
      <w:r w:rsidR="00E1136B">
        <w:rPr>
          <w:rFonts w:ascii="Arial" w:hAnsi="Arial" w:cs="Arial"/>
          <w:sz w:val="20"/>
          <w:szCs w:val="20"/>
        </w:rPr>
        <w:t xml:space="preserve"> </w:t>
      </w:r>
    </w:p>
    <w:p w14:paraId="3DC818C2" w14:textId="5F7F3FB9" w:rsidR="00F32730" w:rsidRDefault="00E1136B" w:rsidP="00F80DAB">
      <w:pPr>
        <w:tabs>
          <w:tab w:val="left" w:pos="709"/>
        </w:tabs>
        <w:spacing w:line="240" w:lineRule="auto"/>
        <w:rPr>
          <w:rFonts w:ascii="Arial" w:hAnsi="Arial" w:cs="Arial"/>
          <w:sz w:val="20"/>
          <w:szCs w:val="20"/>
        </w:rPr>
      </w:pPr>
      <w:proofErr w:type="spellStart"/>
      <w:r>
        <w:rPr>
          <w:rFonts w:ascii="Arial" w:hAnsi="Arial" w:cs="Arial"/>
          <w:sz w:val="20"/>
          <w:szCs w:val="20"/>
        </w:rPr>
        <w:t>ABr</w:t>
      </w:r>
      <w:proofErr w:type="spellEnd"/>
      <w:r>
        <w:rPr>
          <w:rFonts w:ascii="Arial" w:hAnsi="Arial" w:cs="Arial"/>
          <w:sz w:val="20"/>
          <w:szCs w:val="20"/>
        </w:rPr>
        <w:t xml:space="preserve"> presented to the committee </w:t>
      </w:r>
      <w:r w:rsidR="00F54241">
        <w:rPr>
          <w:rFonts w:ascii="Arial" w:hAnsi="Arial" w:cs="Arial"/>
          <w:sz w:val="20"/>
          <w:szCs w:val="20"/>
        </w:rPr>
        <w:t xml:space="preserve">a report on the accuracy and completeness of the QOF learning disability register. </w:t>
      </w:r>
      <w:r w:rsidR="002131A2">
        <w:rPr>
          <w:rFonts w:ascii="Arial" w:hAnsi="Arial" w:cs="Arial"/>
          <w:sz w:val="20"/>
          <w:szCs w:val="20"/>
        </w:rPr>
        <w:t xml:space="preserve">It was </w:t>
      </w:r>
      <w:r w:rsidR="0036774D">
        <w:rPr>
          <w:rFonts w:ascii="Arial" w:hAnsi="Arial" w:cs="Arial"/>
          <w:sz w:val="20"/>
          <w:szCs w:val="20"/>
        </w:rPr>
        <w:t>heard</w:t>
      </w:r>
      <w:r w:rsidR="002131A2">
        <w:rPr>
          <w:rFonts w:ascii="Arial" w:hAnsi="Arial" w:cs="Arial"/>
          <w:sz w:val="20"/>
          <w:szCs w:val="20"/>
        </w:rPr>
        <w:t xml:space="preserve"> that the primary care learning disability register is generally constructed from clinical diagnoses </w:t>
      </w:r>
      <w:r w:rsidR="00D43BC9">
        <w:rPr>
          <w:rFonts w:ascii="Arial" w:hAnsi="Arial" w:cs="Arial"/>
          <w:sz w:val="20"/>
          <w:szCs w:val="20"/>
        </w:rPr>
        <w:t>and information from learning disability teams and social services, but it is likely to be an under-representation of the population. It was noted that there has been the implementation of various tools and national initiatives to improve the early identification of patients, including the use of current indicators. It was highlighted that current literature suggests that improvements to the QOF register can be made through more evidence-based use of screening tools, improved case finding via comorbid conditions, and via utilisation of the reasonable adjustments flag in the NHS Spine. It was noted that there is limited detail relating to patient profiles and subgroups who may be under-represented on the register</w:t>
      </w:r>
      <w:r w:rsidR="00F32730">
        <w:rPr>
          <w:rFonts w:ascii="Arial" w:hAnsi="Arial" w:cs="Arial"/>
          <w:sz w:val="20"/>
          <w:szCs w:val="20"/>
        </w:rPr>
        <w:t>. It was highlighted that there is also personal stigma relating to people not wanting to be identified via the register.</w:t>
      </w:r>
    </w:p>
    <w:p w14:paraId="4370354F" w14:textId="77777777" w:rsidR="00F32730" w:rsidRDefault="00F32730" w:rsidP="00F80DAB">
      <w:pPr>
        <w:tabs>
          <w:tab w:val="left" w:pos="709"/>
        </w:tabs>
        <w:spacing w:line="240" w:lineRule="auto"/>
        <w:rPr>
          <w:rFonts w:ascii="Arial" w:hAnsi="Arial" w:cs="Arial"/>
          <w:sz w:val="20"/>
          <w:szCs w:val="20"/>
        </w:rPr>
      </w:pPr>
      <w:r>
        <w:rPr>
          <w:rFonts w:ascii="Arial" w:hAnsi="Arial" w:cs="Arial"/>
          <w:sz w:val="20"/>
          <w:szCs w:val="20"/>
        </w:rPr>
        <w:lastRenderedPageBreak/>
        <w:t>The committee was asked to consider the following:</w:t>
      </w:r>
    </w:p>
    <w:p w14:paraId="7D56CEDE" w14:textId="77777777" w:rsidR="00F32730" w:rsidRPr="00F32730" w:rsidRDefault="00F32730" w:rsidP="00F80DAB">
      <w:pPr>
        <w:pStyle w:val="ListParagraph"/>
        <w:numPr>
          <w:ilvl w:val="0"/>
          <w:numId w:val="6"/>
        </w:numPr>
        <w:tabs>
          <w:tab w:val="left" w:pos="709"/>
        </w:tabs>
        <w:spacing w:line="240" w:lineRule="auto"/>
        <w:rPr>
          <w:rFonts w:ascii="Arial" w:hAnsi="Arial" w:cs="Arial"/>
          <w:sz w:val="20"/>
          <w:szCs w:val="20"/>
        </w:rPr>
      </w:pPr>
      <w:r w:rsidRPr="00F32730">
        <w:rPr>
          <w:rFonts w:ascii="Arial" w:hAnsi="Arial" w:cs="Arial"/>
          <w:sz w:val="20"/>
          <w:szCs w:val="20"/>
        </w:rPr>
        <w:t>Whether the findings relating to the completeness and accuracy of the LD register in primary care would impact on the general validity of the two draft indicators relating to ongoing management of learning disability, potentially suitable for use in the QOF, which were discussed in June IAC.</w:t>
      </w:r>
    </w:p>
    <w:p w14:paraId="6C5174D2" w14:textId="5DFCD82B" w:rsidR="00F32730" w:rsidRDefault="00F32730" w:rsidP="00F80DAB">
      <w:pPr>
        <w:pStyle w:val="ListParagraph"/>
        <w:numPr>
          <w:ilvl w:val="0"/>
          <w:numId w:val="6"/>
        </w:numPr>
        <w:tabs>
          <w:tab w:val="left" w:pos="709"/>
        </w:tabs>
        <w:spacing w:line="240" w:lineRule="auto"/>
        <w:rPr>
          <w:rFonts w:ascii="Arial" w:hAnsi="Arial" w:cs="Arial"/>
          <w:sz w:val="20"/>
          <w:szCs w:val="20"/>
        </w:rPr>
      </w:pPr>
      <w:r w:rsidRPr="00F32730">
        <w:rPr>
          <w:rFonts w:ascii="Arial" w:hAnsi="Arial" w:cs="Arial"/>
          <w:sz w:val="20"/>
          <w:szCs w:val="20"/>
        </w:rPr>
        <w:t xml:space="preserve">If the initial focus for primary care should be on improving the accuracy of the register through approaches including proactive case finding, improved communication and data sharing between health, social care, </w:t>
      </w:r>
      <w:r w:rsidR="00C405AD" w:rsidRPr="00F32730">
        <w:rPr>
          <w:rFonts w:ascii="Arial" w:hAnsi="Arial" w:cs="Arial"/>
          <w:sz w:val="20"/>
          <w:szCs w:val="20"/>
        </w:rPr>
        <w:t>education,</w:t>
      </w:r>
      <w:r w:rsidRPr="00F32730">
        <w:rPr>
          <w:rFonts w:ascii="Arial" w:hAnsi="Arial" w:cs="Arial"/>
          <w:sz w:val="20"/>
          <w:szCs w:val="20"/>
        </w:rPr>
        <w:t xml:space="preserve"> and other relevant organisations and by utilising the Reasonable Adjustments flag in the NHS Spine.</w:t>
      </w:r>
    </w:p>
    <w:p w14:paraId="46DAA519" w14:textId="12A3049D" w:rsidR="00A45B46" w:rsidRDefault="00F32730" w:rsidP="00F80DAB">
      <w:pPr>
        <w:tabs>
          <w:tab w:val="left" w:pos="709"/>
        </w:tabs>
        <w:spacing w:line="240" w:lineRule="auto"/>
        <w:rPr>
          <w:rFonts w:ascii="Arial" w:hAnsi="Arial" w:cs="Arial"/>
          <w:sz w:val="20"/>
          <w:szCs w:val="20"/>
        </w:rPr>
      </w:pPr>
      <w:r>
        <w:rPr>
          <w:rFonts w:ascii="Arial" w:hAnsi="Arial" w:cs="Arial"/>
          <w:sz w:val="20"/>
          <w:szCs w:val="20"/>
        </w:rPr>
        <w:t xml:space="preserve">Members </w:t>
      </w:r>
      <w:r w:rsidR="00990543">
        <w:rPr>
          <w:rFonts w:ascii="Arial" w:hAnsi="Arial" w:cs="Arial"/>
          <w:sz w:val="20"/>
          <w:szCs w:val="20"/>
        </w:rPr>
        <w:t xml:space="preserve">noted that </w:t>
      </w:r>
      <w:r w:rsidR="008074B4">
        <w:rPr>
          <w:rFonts w:ascii="Arial" w:hAnsi="Arial" w:cs="Arial"/>
          <w:sz w:val="20"/>
          <w:szCs w:val="20"/>
        </w:rPr>
        <w:t xml:space="preserve">improving the </w:t>
      </w:r>
      <w:r w:rsidR="00990543">
        <w:rPr>
          <w:rFonts w:ascii="Arial" w:hAnsi="Arial" w:cs="Arial"/>
          <w:sz w:val="20"/>
          <w:szCs w:val="20"/>
        </w:rPr>
        <w:t xml:space="preserve">accuracy of the register is important but </w:t>
      </w:r>
      <w:r w:rsidR="001C35E1">
        <w:rPr>
          <w:rFonts w:ascii="Arial" w:hAnsi="Arial" w:cs="Arial"/>
          <w:sz w:val="20"/>
          <w:szCs w:val="20"/>
        </w:rPr>
        <w:t>raised concerns around</w:t>
      </w:r>
      <w:r w:rsidR="00990543">
        <w:rPr>
          <w:rFonts w:ascii="Arial" w:hAnsi="Arial" w:cs="Arial"/>
          <w:sz w:val="20"/>
          <w:szCs w:val="20"/>
        </w:rPr>
        <w:t xml:space="preserve"> incentivis</w:t>
      </w:r>
      <w:r w:rsidR="001C35E1">
        <w:rPr>
          <w:rFonts w:ascii="Arial" w:hAnsi="Arial" w:cs="Arial"/>
          <w:sz w:val="20"/>
          <w:szCs w:val="20"/>
        </w:rPr>
        <w:t>ing</w:t>
      </w:r>
      <w:r w:rsidR="00990543">
        <w:rPr>
          <w:rFonts w:ascii="Arial" w:hAnsi="Arial" w:cs="Arial"/>
          <w:sz w:val="20"/>
          <w:szCs w:val="20"/>
        </w:rPr>
        <w:t xml:space="preserve"> </w:t>
      </w:r>
      <w:r w:rsidR="001C35E1">
        <w:rPr>
          <w:rFonts w:ascii="Arial" w:hAnsi="Arial" w:cs="Arial"/>
          <w:sz w:val="20"/>
          <w:szCs w:val="20"/>
        </w:rPr>
        <w:t>improvements</w:t>
      </w:r>
      <w:r w:rsidR="00990543">
        <w:rPr>
          <w:rFonts w:ascii="Arial" w:hAnsi="Arial" w:cs="Arial"/>
          <w:sz w:val="20"/>
          <w:szCs w:val="20"/>
        </w:rPr>
        <w:t xml:space="preserve">. </w:t>
      </w:r>
      <w:r w:rsidR="00C405AD">
        <w:rPr>
          <w:rFonts w:ascii="Arial" w:hAnsi="Arial" w:cs="Arial"/>
          <w:sz w:val="20"/>
          <w:szCs w:val="20"/>
        </w:rPr>
        <w:t>It was highlighted that there is a danger that you end up with less people on the register rather than more because once you start comparing data, the emphasis often switches to reducing numbers.</w:t>
      </w:r>
      <w:r w:rsidR="00153EBE">
        <w:rPr>
          <w:rFonts w:ascii="Arial" w:hAnsi="Arial" w:cs="Arial"/>
          <w:sz w:val="20"/>
          <w:szCs w:val="20"/>
        </w:rPr>
        <w:t xml:space="preserve"> It was specified that was confidence that those using learning disability services were already on the GP register.</w:t>
      </w:r>
      <w:r w:rsidR="00990543">
        <w:rPr>
          <w:rFonts w:ascii="Arial" w:hAnsi="Arial" w:cs="Arial"/>
          <w:sz w:val="20"/>
          <w:szCs w:val="20"/>
        </w:rPr>
        <w:t xml:space="preserve"> It was noted that there is a complexity in identifying all children with learning disabilities, as for example children in school may have special need and mental health issues, but not a learning disability</w:t>
      </w:r>
      <w:r w:rsidR="001C35E1">
        <w:rPr>
          <w:rFonts w:ascii="Arial" w:hAnsi="Arial" w:cs="Arial"/>
          <w:sz w:val="20"/>
          <w:szCs w:val="20"/>
        </w:rPr>
        <w:t>.</w:t>
      </w:r>
      <w:r w:rsidR="00FC63CB">
        <w:rPr>
          <w:rFonts w:ascii="Arial" w:hAnsi="Arial" w:cs="Arial"/>
          <w:sz w:val="20"/>
          <w:szCs w:val="20"/>
        </w:rPr>
        <w:t xml:space="preserve"> </w:t>
      </w:r>
    </w:p>
    <w:p w14:paraId="52F4F709" w14:textId="2A5C3ACB" w:rsidR="00A45B46" w:rsidRDefault="00A45B46" w:rsidP="00F80DAB">
      <w:pPr>
        <w:tabs>
          <w:tab w:val="left" w:pos="709"/>
        </w:tabs>
        <w:spacing w:line="240" w:lineRule="auto"/>
        <w:rPr>
          <w:rFonts w:ascii="Arial" w:hAnsi="Arial" w:cs="Arial"/>
          <w:sz w:val="20"/>
          <w:szCs w:val="20"/>
        </w:rPr>
      </w:pPr>
      <w:r>
        <w:rPr>
          <w:rFonts w:ascii="Arial" w:hAnsi="Arial" w:cs="Arial"/>
          <w:sz w:val="20"/>
          <w:szCs w:val="20"/>
        </w:rPr>
        <w:t>The committee</w:t>
      </w:r>
      <w:r w:rsidR="00FC63CB">
        <w:rPr>
          <w:rFonts w:ascii="Arial" w:hAnsi="Arial" w:cs="Arial"/>
          <w:sz w:val="20"/>
          <w:szCs w:val="20"/>
        </w:rPr>
        <w:t xml:space="preserve"> highlighted that </w:t>
      </w:r>
      <w:r w:rsidR="001C35E1">
        <w:rPr>
          <w:rFonts w:ascii="Arial" w:hAnsi="Arial" w:cs="Arial"/>
          <w:sz w:val="20"/>
          <w:szCs w:val="20"/>
        </w:rPr>
        <w:t xml:space="preserve">the discrepancy between recorded and expected prevalence is more likely to relate to under diagnosis of mild learning disabilities. </w:t>
      </w:r>
      <w:r w:rsidR="00B42D9B">
        <w:rPr>
          <w:rFonts w:ascii="Arial" w:hAnsi="Arial" w:cs="Arial"/>
          <w:sz w:val="20"/>
          <w:szCs w:val="20"/>
        </w:rPr>
        <w:t xml:space="preserve">It was </w:t>
      </w:r>
      <w:r w:rsidR="0036774D">
        <w:rPr>
          <w:rFonts w:ascii="Arial" w:hAnsi="Arial" w:cs="Arial"/>
          <w:sz w:val="20"/>
          <w:szCs w:val="20"/>
        </w:rPr>
        <w:t>heard</w:t>
      </w:r>
      <w:r w:rsidR="00B42D9B">
        <w:rPr>
          <w:rFonts w:ascii="Arial" w:hAnsi="Arial" w:cs="Arial"/>
          <w:sz w:val="20"/>
          <w:szCs w:val="20"/>
        </w:rPr>
        <w:t xml:space="preserve"> that the screening tools used to diagnose people with learning disabilities may not be designed to be used in a primary care setting so it would be incorrect to assume that primary care would be picking up the diagnosis. </w:t>
      </w:r>
    </w:p>
    <w:p w14:paraId="7AA75515" w14:textId="70DF5055" w:rsidR="00543316" w:rsidRDefault="001C35E1" w:rsidP="00F80DAB">
      <w:pPr>
        <w:tabs>
          <w:tab w:val="left" w:pos="709"/>
        </w:tabs>
        <w:spacing w:line="240" w:lineRule="auto"/>
        <w:rPr>
          <w:rFonts w:ascii="Arial" w:hAnsi="Arial" w:cs="Arial"/>
          <w:sz w:val="20"/>
          <w:szCs w:val="20"/>
        </w:rPr>
      </w:pPr>
      <w:r>
        <w:rPr>
          <w:rFonts w:ascii="Arial" w:hAnsi="Arial" w:cs="Arial"/>
          <w:sz w:val="20"/>
          <w:szCs w:val="20"/>
        </w:rPr>
        <w:t xml:space="preserve">The committee agreed </w:t>
      </w:r>
      <w:r w:rsidR="00543316">
        <w:rPr>
          <w:rFonts w:ascii="Arial" w:hAnsi="Arial" w:cs="Arial"/>
          <w:sz w:val="20"/>
          <w:szCs w:val="20"/>
        </w:rPr>
        <w:t>that</w:t>
      </w:r>
      <w:r>
        <w:rPr>
          <w:rFonts w:ascii="Arial" w:hAnsi="Arial" w:cs="Arial"/>
          <w:sz w:val="20"/>
          <w:szCs w:val="20"/>
        </w:rPr>
        <w:t xml:space="preserve"> the</w:t>
      </w:r>
      <w:r w:rsidR="00543316">
        <w:rPr>
          <w:rFonts w:ascii="Arial" w:hAnsi="Arial" w:cs="Arial"/>
          <w:sz w:val="20"/>
          <w:szCs w:val="20"/>
        </w:rPr>
        <w:t xml:space="preserve"> indicators </w:t>
      </w:r>
      <w:r>
        <w:rPr>
          <w:rFonts w:ascii="Arial" w:hAnsi="Arial" w:cs="Arial"/>
          <w:sz w:val="20"/>
          <w:szCs w:val="20"/>
        </w:rPr>
        <w:t xml:space="preserve">should </w:t>
      </w:r>
      <w:r w:rsidR="00543316">
        <w:rPr>
          <w:rFonts w:ascii="Arial" w:hAnsi="Arial" w:cs="Arial"/>
          <w:sz w:val="20"/>
          <w:szCs w:val="20"/>
        </w:rPr>
        <w:t>progress to the menu with a caveat explanation given to NHS England about the need for the register to improve.</w:t>
      </w:r>
      <w:r w:rsidR="00A51B57">
        <w:rPr>
          <w:rFonts w:ascii="Arial" w:hAnsi="Arial" w:cs="Arial"/>
          <w:sz w:val="20"/>
          <w:szCs w:val="20"/>
        </w:rPr>
        <w:t xml:space="preserve"> It was suggested that any improvements to the register would be more suitable at Primary Care Network (PCN) level</w:t>
      </w:r>
      <w:r w:rsidR="00153EBE">
        <w:rPr>
          <w:rFonts w:ascii="Arial" w:hAnsi="Arial" w:cs="Arial"/>
          <w:sz w:val="20"/>
          <w:szCs w:val="20"/>
        </w:rPr>
        <w:t xml:space="preserve"> due to the requirement for cross-organisational working.</w:t>
      </w:r>
      <w:r w:rsidR="00543316">
        <w:rPr>
          <w:rFonts w:ascii="Arial" w:hAnsi="Arial" w:cs="Arial"/>
          <w:sz w:val="20"/>
          <w:szCs w:val="20"/>
        </w:rPr>
        <w:t xml:space="preserve"> It was noted that by progressing the indicators it could incentivise the need for </w:t>
      </w:r>
      <w:r w:rsidR="00A51B57">
        <w:rPr>
          <w:rFonts w:ascii="Arial" w:hAnsi="Arial" w:cs="Arial"/>
          <w:sz w:val="20"/>
          <w:szCs w:val="20"/>
        </w:rPr>
        <w:t xml:space="preserve">improvements to the register which may bolster improved health outcomes. </w:t>
      </w:r>
    </w:p>
    <w:p w14:paraId="0C8BE2D4" w14:textId="22B3A743" w:rsidR="00C134B4" w:rsidRDefault="00806F29" w:rsidP="00F80DAB">
      <w:pPr>
        <w:tabs>
          <w:tab w:val="left" w:pos="709"/>
        </w:tabs>
        <w:spacing w:line="240" w:lineRule="auto"/>
        <w:rPr>
          <w:rFonts w:ascii="Arial" w:hAnsi="Arial" w:cs="Arial"/>
          <w:b/>
          <w:bCs/>
          <w:sz w:val="20"/>
          <w:szCs w:val="20"/>
        </w:rPr>
      </w:pPr>
      <w:r w:rsidRPr="00271ED7">
        <w:rPr>
          <w:rFonts w:ascii="Arial" w:hAnsi="Arial" w:cs="Arial"/>
          <w:b/>
          <w:bCs/>
          <w:sz w:val="20"/>
          <w:szCs w:val="20"/>
        </w:rPr>
        <w:t xml:space="preserve">ACTION: </w:t>
      </w:r>
      <w:r w:rsidR="00E1136B">
        <w:rPr>
          <w:rFonts w:ascii="Arial" w:hAnsi="Arial" w:cs="Arial"/>
          <w:b/>
          <w:bCs/>
          <w:sz w:val="20"/>
          <w:szCs w:val="20"/>
        </w:rPr>
        <w:t xml:space="preserve">NICE team to </w:t>
      </w:r>
      <w:r w:rsidR="00543316">
        <w:rPr>
          <w:rFonts w:ascii="Arial" w:hAnsi="Arial" w:cs="Arial"/>
          <w:b/>
          <w:bCs/>
          <w:sz w:val="20"/>
          <w:szCs w:val="20"/>
        </w:rPr>
        <w:t>progress IND</w:t>
      </w:r>
      <w:r w:rsidR="00A51B57">
        <w:rPr>
          <w:rFonts w:ascii="Arial" w:hAnsi="Arial" w:cs="Arial"/>
          <w:b/>
          <w:bCs/>
          <w:sz w:val="20"/>
          <w:szCs w:val="20"/>
        </w:rPr>
        <w:t>2022</w:t>
      </w:r>
      <w:r w:rsidR="00E1136B">
        <w:rPr>
          <w:rFonts w:ascii="Arial" w:hAnsi="Arial" w:cs="Arial"/>
          <w:b/>
          <w:bCs/>
          <w:sz w:val="20"/>
          <w:szCs w:val="20"/>
        </w:rPr>
        <w:t>-129 and IND2023-152</w:t>
      </w:r>
      <w:r w:rsidR="00543316">
        <w:rPr>
          <w:rFonts w:ascii="Arial" w:hAnsi="Arial" w:cs="Arial"/>
          <w:b/>
          <w:bCs/>
          <w:sz w:val="20"/>
          <w:szCs w:val="20"/>
        </w:rPr>
        <w:t xml:space="preserve"> to the NICE menu</w:t>
      </w:r>
      <w:r w:rsidR="00E1136B">
        <w:rPr>
          <w:rFonts w:ascii="Arial" w:hAnsi="Arial" w:cs="Arial"/>
          <w:b/>
          <w:bCs/>
          <w:sz w:val="20"/>
          <w:szCs w:val="20"/>
        </w:rPr>
        <w:t xml:space="preserve"> for their inclusion </w:t>
      </w:r>
      <w:r w:rsidR="00543316">
        <w:rPr>
          <w:rFonts w:ascii="Arial" w:hAnsi="Arial" w:cs="Arial"/>
          <w:b/>
          <w:bCs/>
          <w:sz w:val="20"/>
          <w:szCs w:val="20"/>
        </w:rPr>
        <w:t>in the QOF</w:t>
      </w:r>
      <w:r w:rsidR="001C35E1">
        <w:rPr>
          <w:rFonts w:ascii="Arial" w:hAnsi="Arial" w:cs="Arial"/>
          <w:b/>
          <w:bCs/>
          <w:sz w:val="20"/>
          <w:szCs w:val="20"/>
        </w:rPr>
        <w:t xml:space="preserve"> with the inclusion of children under 14</w:t>
      </w:r>
      <w:r w:rsidR="00543316">
        <w:rPr>
          <w:rFonts w:ascii="Arial" w:hAnsi="Arial" w:cs="Arial"/>
          <w:b/>
          <w:bCs/>
          <w:sz w:val="20"/>
          <w:szCs w:val="20"/>
        </w:rPr>
        <w:t xml:space="preserve">. </w:t>
      </w:r>
    </w:p>
    <w:p w14:paraId="52636416" w14:textId="426DDAB9" w:rsidR="00806F29" w:rsidRDefault="00C134B4" w:rsidP="00F80DAB">
      <w:pPr>
        <w:tabs>
          <w:tab w:val="left" w:pos="709"/>
        </w:tabs>
        <w:spacing w:line="240" w:lineRule="auto"/>
        <w:rPr>
          <w:rFonts w:ascii="Arial" w:hAnsi="Arial" w:cs="Arial"/>
          <w:b/>
          <w:bCs/>
          <w:sz w:val="20"/>
          <w:szCs w:val="20"/>
        </w:rPr>
      </w:pPr>
      <w:r>
        <w:rPr>
          <w:rFonts w:ascii="Arial" w:hAnsi="Arial" w:cs="Arial"/>
          <w:b/>
          <w:bCs/>
          <w:sz w:val="20"/>
          <w:szCs w:val="20"/>
        </w:rPr>
        <w:t xml:space="preserve">ACTION: </w:t>
      </w:r>
      <w:r w:rsidR="00543316">
        <w:rPr>
          <w:rFonts w:ascii="Arial" w:hAnsi="Arial" w:cs="Arial"/>
          <w:b/>
          <w:bCs/>
          <w:sz w:val="20"/>
          <w:szCs w:val="20"/>
        </w:rPr>
        <w:t>NHS England to be informed about the contractual need to include all ages and of the need for the learning disability register to be improved</w:t>
      </w:r>
      <w:r w:rsidR="00AF2D1B">
        <w:rPr>
          <w:rFonts w:ascii="Arial" w:hAnsi="Arial" w:cs="Arial"/>
          <w:b/>
          <w:bCs/>
          <w:sz w:val="20"/>
          <w:szCs w:val="20"/>
        </w:rPr>
        <w:t xml:space="preserve"> based on NEQOS research</w:t>
      </w:r>
      <w:r w:rsidR="00543316">
        <w:rPr>
          <w:rFonts w:ascii="Arial" w:hAnsi="Arial" w:cs="Arial"/>
          <w:b/>
          <w:bCs/>
          <w:sz w:val="20"/>
          <w:szCs w:val="20"/>
        </w:rPr>
        <w:t xml:space="preserve">. </w:t>
      </w:r>
    </w:p>
    <w:p w14:paraId="21837867" w14:textId="77777777" w:rsidR="00AF2D1B" w:rsidRDefault="00A51B57" w:rsidP="00F80DAB">
      <w:pPr>
        <w:tabs>
          <w:tab w:val="left" w:pos="709"/>
        </w:tabs>
        <w:spacing w:line="240" w:lineRule="auto"/>
        <w:rPr>
          <w:rFonts w:ascii="Arial" w:hAnsi="Arial" w:cs="Arial"/>
          <w:b/>
          <w:bCs/>
          <w:sz w:val="20"/>
          <w:szCs w:val="20"/>
        </w:rPr>
      </w:pPr>
      <w:r w:rsidRPr="00271ED7">
        <w:rPr>
          <w:rFonts w:ascii="Arial" w:hAnsi="Arial" w:cs="Arial"/>
          <w:b/>
          <w:bCs/>
          <w:sz w:val="20"/>
          <w:szCs w:val="20"/>
        </w:rPr>
        <w:t xml:space="preserve">Item 2 – </w:t>
      </w:r>
      <w:r w:rsidR="00AF2D1B">
        <w:rPr>
          <w:rFonts w:ascii="Arial" w:hAnsi="Arial" w:cs="Arial"/>
          <w:b/>
          <w:bCs/>
          <w:sz w:val="20"/>
          <w:szCs w:val="20"/>
        </w:rPr>
        <w:t>Depression</w:t>
      </w:r>
    </w:p>
    <w:p w14:paraId="7B9BC67A" w14:textId="77777777" w:rsidR="00AF2D1B" w:rsidRDefault="00AF2D1B" w:rsidP="00F80DAB">
      <w:pPr>
        <w:tabs>
          <w:tab w:val="left" w:pos="709"/>
        </w:tabs>
        <w:spacing w:line="240" w:lineRule="auto"/>
        <w:rPr>
          <w:rFonts w:ascii="Arial" w:hAnsi="Arial" w:cs="Arial"/>
          <w:sz w:val="20"/>
          <w:szCs w:val="20"/>
        </w:rPr>
      </w:pPr>
      <w:r w:rsidRPr="00AF7A58">
        <w:rPr>
          <w:rFonts w:ascii="Arial" w:hAnsi="Arial" w:cs="Arial"/>
          <w:sz w:val="20"/>
          <w:szCs w:val="20"/>
        </w:rPr>
        <w:t>DS presented to the committee a new indicator on depression:</w:t>
      </w:r>
    </w:p>
    <w:p w14:paraId="6006B755" w14:textId="22BC6A55" w:rsidR="00AF2D1B" w:rsidRDefault="00AF2D1B" w:rsidP="00F80DAB">
      <w:pPr>
        <w:tabs>
          <w:tab w:val="left" w:pos="709"/>
        </w:tabs>
        <w:spacing w:line="240" w:lineRule="auto"/>
        <w:rPr>
          <w:rFonts w:ascii="Arial" w:hAnsi="Arial" w:cs="Arial"/>
          <w:i/>
          <w:iCs/>
          <w:sz w:val="20"/>
          <w:szCs w:val="20"/>
        </w:rPr>
      </w:pPr>
      <w:r w:rsidRPr="000450B0">
        <w:rPr>
          <w:rFonts w:ascii="Arial" w:hAnsi="Arial" w:cs="Arial"/>
          <w:i/>
          <w:iCs/>
          <w:sz w:val="20"/>
          <w:szCs w:val="20"/>
        </w:rPr>
        <w:t>IND202</w:t>
      </w:r>
      <w:r>
        <w:rPr>
          <w:rFonts w:ascii="Arial" w:hAnsi="Arial" w:cs="Arial"/>
          <w:i/>
          <w:iCs/>
          <w:sz w:val="20"/>
          <w:szCs w:val="20"/>
        </w:rPr>
        <w:t>3</w:t>
      </w:r>
      <w:r w:rsidRPr="000450B0">
        <w:rPr>
          <w:rFonts w:ascii="Arial" w:hAnsi="Arial" w:cs="Arial"/>
          <w:i/>
          <w:iCs/>
          <w:sz w:val="20"/>
          <w:szCs w:val="20"/>
        </w:rPr>
        <w:t>-</w:t>
      </w:r>
      <w:r>
        <w:rPr>
          <w:rFonts w:ascii="Arial" w:hAnsi="Arial" w:cs="Arial"/>
          <w:i/>
          <w:iCs/>
          <w:sz w:val="20"/>
          <w:szCs w:val="20"/>
        </w:rPr>
        <w:t>154</w:t>
      </w:r>
      <w:r w:rsidRPr="000450B0">
        <w:rPr>
          <w:rFonts w:ascii="Arial" w:hAnsi="Arial" w:cs="Arial"/>
          <w:i/>
          <w:iCs/>
          <w:sz w:val="20"/>
          <w:szCs w:val="20"/>
        </w:rPr>
        <w:t xml:space="preserve">: </w:t>
      </w:r>
      <w:r w:rsidRPr="00AF2D1B">
        <w:rPr>
          <w:rFonts w:ascii="Arial" w:hAnsi="Arial" w:cs="Arial"/>
          <w:i/>
          <w:iCs/>
          <w:sz w:val="20"/>
          <w:szCs w:val="20"/>
        </w:rPr>
        <w:t>The percentage of patients with a new diagnosis of depression or anxiety disorder in the preceding 12 months, whose notes record an offer of a first line treatment option within 3 months of the date of diagnosis.</w:t>
      </w:r>
    </w:p>
    <w:p w14:paraId="350BC67A" w14:textId="121A63B6" w:rsidR="00AF2D1B" w:rsidRDefault="00AF2D1B" w:rsidP="00F80DAB">
      <w:pPr>
        <w:tabs>
          <w:tab w:val="left" w:pos="709"/>
        </w:tabs>
        <w:spacing w:line="240" w:lineRule="auto"/>
        <w:rPr>
          <w:rFonts w:ascii="Arial" w:hAnsi="Arial" w:cs="Arial"/>
          <w:sz w:val="20"/>
          <w:szCs w:val="20"/>
        </w:rPr>
      </w:pPr>
      <w:r>
        <w:rPr>
          <w:rFonts w:ascii="Arial" w:hAnsi="Arial" w:cs="Arial"/>
          <w:sz w:val="20"/>
          <w:szCs w:val="20"/>
        </w:rPr>
        <w:t xml:space="preserve">DS gave the background to the indicator noting that since the publication of the NICE depression guideline update (NG222), the committee made the decision to retire existing indicator NM123 from the NICE menu at the June 2023 meeting. It was recommended by the committee to develop a new indicator that covers all the potential treatment options outlined in the guideline update. It was noted that this indicator is supported by NG222 recommendations 1.5.2 and 1.6.1. </w:t>
      </w:r>
    </w:p>
    <w:p w14:paraId="5809AB3F" w14:textId="5D6AA56B" w:rsidR="00AF2D1B" w:rsidRDefault="00AF2D1B" w:rsidP="00F80DAB">
      <w:pPr>
        <w:tabs>
          <w:tab w:val="left" w:pos="709"/>
        </w:tabs>
        <w:spacing w:line="240" w:lineRule="auto"/>
        <w:rPr>
          <w:rFonts w:ascii="Arial" w:hAnsi="Arial" w:cs="Arial"/>
          <w:sz w:val="20"/>
          <w:szCs w:val="20"/>
        </w:rPr>
      </w:pPr>
      <w:r>
        <w:rPr>
          <w:rFonts w:ascii="Arial" w:hAnsi="Arial" w:cs="Arial"/>
          <w:sz w:val="20"/>
          <w:szCs w:val="20"/>
        </w:rPr>
        <w:t>The following validity concerns were highlighted:</w:t>
      </w:r>
    </w:p>
    <w:p w14:paraId="2DAD2E23" w14:textId="019A6170" w:rsidR="00AF2D1B" w:rsidRPr="00AF2D1B" w:rsidRDefault="00AF2D1B" w:rsidP="00F80DAB">
      <w:pPr>
        <w:numPr>
          <w:ilvl w:val="0"/>
          <w:numId w:val="8"/>
        </w:numPr>
        <w:tabs>
          <w:tab w:val="clear" w:pos="720"/>
          <w:tab w:val="left" w:pos="709"/>
        </w:tabs>
        <w:spacing w:line="240" w:lineRule="auto"/>
        <w:rPr>
          <w:rFonts w:ascii="Arial" w:hAnsi="Arial" w:cs="Arial"/>
          <w:sz w:val="20"/>
          <w:szCs w:val="20"/>
        </w:rPr>
      </w:pPr>
      <w:r>
        <w:rPr>
          <w:rFonts w:ascii="Arial" w:hAnsi="Arial" w:cs="Arial"/>
          <w:sz w:val="20"/>
          <w:szCs w:val="20"/>
        </w:rPr>
        <w:t>The indicator w</w:t>
      </w:r>
      <w:r w:rsidRPr="00AF2D1B">
        <w:rPr>
          <w:rFonts w:ascii="Arial" w:hAnsi="Arial" w:cs="Arial"/>
          <w:sz w:val="20"/>
          <w:szCs w:val="20"/>
        </w:rPr>
        <w:t>ould not differentiate between severity of depression.</w:t>
      </w:r>
    </w:p>
    <w:p w14:paraId="67CFC290" w14:textId="77777777" w:rsidR="00AF2D1B" w:rsidRPr="00AF2D1B" w:rsidRDefault="00AF2D1B" w:rsidP="00F80DAB">
      <w:pPr>
        <w:numPr>
          <w:ilvl w:val="0"/>
          <w:numId w:val="8"/>
        </w:numPr>
        <w:tabs>
          <w:tab w:val="clear" w:pos="720"/>
          <w:tab w:val="left" w:pos="709"/>
        </w:tabs>
        <w:spacing w:line="240" w:lineRule="auto"/>
        <w:rPr>
          <w:rFonts w:ascii="Arial" w:hAnsi="Arial" w:cs="Arial"/>
          <w:sz w:val="20"/>
          <w:szCs w:val="20"/>
        </w:rPr>
      </w:pPr>
      <w:r w:rsidRPr="00AF2D1B">
        <w:rPr>
          <w:rFonts w:ascii="Arial" w:hAnsi="Arial" w:cs="Arial"/>
          <w:sz w:val="20"/>
          <w:szCs w:val="20"/>
        </w:rPr>
        <w:t>Timescale of ‘within 3 months of diagnosis’ is pragmatic and does not have an evidence base.</w:t>
      </w:r>
    </w:p>
    <w:p w14:paraId="286803F4" w14:textId="77777777" w:rsidR="00AF2D1B" w:rsidRDefault="00AF2D1B" w:rsidP="00F80DAB">
      <w:pPr>
        <w:numPr>
          <w:ilvl w:val="0"/>
          <w:numId w:val="8"/>
        </w:numPr>
        <w:tabs>
          <w:tab w:val="clear" w:pos="720"/>
          <w:tab w:val="left" w:pos="709"/>
        </w:tabs>
        <w:spacing w:line="240" w:lineRule="auto"/>
        <w:rPr>
          <w:rFonts w:ascii="Arial" w:hAnsi="Arial" w:cs="Arial"/>
          <w:sz w:val="20"/>
          <w:szCs w:val="20"/>
        </w:rPr>
      </w:pPr>
      <w:r w:rsidRPr="00AF2D1B">
        <w:rPr>
          <w:rFonts w:ascii="Arial" w:hAnsi="Arial" w:cs="Arial"/>
          <w:sz w:val="20"/>
          <w:szCs w:val="20"/>
        </w:rPr>
        <w:t>Includes those with a diagnosis of anxiety or with both conditions. Should all interventions be a ‘pass’, whether for depression or anxiety?</w:t>
      </w:r>
    </w:p>
    <w:p w14:paraId="25A54C72" w14:textId="16664462" w:rsidR="00AF2D1B" w:rsidRDefault="00AF2D1B" w:rsidP="00F80DAB">
      <w:pPr>
        <w:tabs>
          <w:tab w:val="left" w:pos="709"/>
        </w:tabs>
        <w:spacing w:line="240" w:lineRule="auto"/>
        <w:rPr>
          <w:rFonts w:ascii="Arial" w:hAnsi="Arial" w:cs="Arial"/>
          <w:sz w:val="20"/>
          <w:szCs w:val="20"/>
        </w:rPr>
      </w:pPr>
      <w:r>
        <w:rPr>
          <w:rFonts w:ascii="Arial" w:hAnsi="Arial" w:cs="Arial"/>
          <w:sz w:val="20"/>
          <w:szCs w:val="20"/>
        </w:rPr>
        <w:t>The committee was asked to consider whether the proposed indicator should progress to piloting and testing. Alternatively, the committee could halt development of the indicator or ask for further evidence of validity.</w:t>
      </w:r>
    </w:p>
    <w:p w14:paraId="7B7BFBA6" w14:textId="000EE44C" w:rsidR="00D1604D" w:rsidRDefault="00AF2D1B" w:rsidP="00F80DAB">
      <w:pPr>
        <w:tabs>
          <w:tab w:val="left" w:pos="709"/>
        </w:tabs>
        <w:spacing w:line="240" w:lineRule="auto"/>
        <w:rPr>
          <w:rFonts w:ascii="Arial" w:hAnsi="Arial" w:cs="Arial"/>
          <w:sz w:val="20"/>
          <w:szCs w:val="20"/>
        </w:rPr>
      </w:pPr>
      <w:r>
        <w:rPr>
          <w:rFonts w:ascii="Arial" w:hAnsi="Arial" w:cs="Arial"/>
          <w:sz w:val="20"/>
          <w:szCs w:val="20"/>
        </w:rPr>
        <w:lastRenderedPageBreak/>
        <w:t xml:space="preserve">Members noted </w:t>
      </w:r>
      <w:r w:rsidR="0057273F">
        <w:rPr>
          <w:rFonts w:ascii="Arial" w:hAnsi="Arial" w:cs="Arial"/>
          <w:sz w:val="20"/>
          <w:szCs w:val="20"/>
        </w:rPr>
        <w:t xml:space="preserve">that the indicator should include anxiety and depression as a lot of people tend to have a mixture of both conditions, and there </w:t>
      </w:r>
      <w:r w:rsidR="001940A6">
        <w:rPr>
          <w:rFonts w:ascii="Arial" w:hAnsi="Arial" w:cs="Arial"/>
          <w:sz w:val="20"/>
          <w:szCs w:val="20"/>
        </w:rPr>
        <w:t>are</w:t>
      </w:r>
      <w:r w:rsidR="0057273F">
        <w:rPr>
          <w:rFonts w:ascii="Arial" w:hAnsi="Arial" w:cs="Arial"/>
          <w:sz w:val="20"/>
          <w:szCs w:val="20"/>
        </w:rPr>
        <w:t xml:space="preserve"> commonalities in the treatment options.</w:t>
      </w:r>
      <w:r w:rsidR="00B16C51">
        <w:rPr>
          <w:rFonts w:ascii="Arial" w:hAnsi="Arial" w:cs="Arial"/>
          <w:sz w:val="20"/>
          <w:szCs w:val="20"/>
        </w:rPr>
        <w:t xml:space="preserve"> It was highlighted that if the indicator were to publish, there is a need for all relevant coding </w:t>
      </w:r>
      <w:r w:rsidR="00AF7A58">
        <w:rPr>
          <w:rFonts w:ascii="Arial" w:hAnsi="Arial" w:cs="Arial"/>
          <w:sz w:val="20"/>
          <w:szCs w:val="20"/>
        </w:rPr>
        <w:t xml:space="preserve">to </w:t>
      </w:r>
      <w:r w:rsidR="00B16C51">
        <w:rPr>
          <w:rFonts w:ascii="Arial" w:hAnsi="Arial" w:cs="Arial"/>
          <w:sz w:val="20"/>
          <w:szCs w:val="20"/>
        </w:rPr>
        <w:t xml:space="preserve">be available, particular for the less invasive and preventative treatment options. The NICE team clarified that this can be done. </w:t>
      </w:r>
    </w:p>
    <w:p w14:paraId="191CBBB2" w14:textId="18099119" w:rsidR="00D1604D" w:rsidRDefault="00B16C51" w:rsidP="00F80DAB">
      <w:pPr>
        <w:tabs>
          <w:tab w:val="left" w:pos="709"/>
        </w:tabs>
        <w:spacing w:line="240" w:lineRule="auto"/>
        <w:rPr>
          <w:rFonts w:ascii="Arial" w:hAnsi="Arial" w:cs="Arial"/>
          <w:sz w:val="20"/>
          <w:szCs w:val="20"/>
        </w:rPr>
      </w:pPr>
      <w:r>
        <w:rPr>
          <w:rFonts w:ascii="Arial" w:hAnsi="Arial" w:cs="Arial"/>
          <w:sz w:val="20"/>
          <w:szCs w:val="20"/>
        </w:rPr>
        <w:t xml:space="preserve">Concerns were raised that the indicator is too broad in that it may </w:t>
      </w:r>
      <w:r w:rsidR="001C35E1">
        <w:rPr>
          <w:rFonts w:ascii="Arial" w:hAnsi="Arial" w:cs="Arial"/>
          <w:sz w:val="20"/>
          <w:szCs w:val="20"/>
        </w:rPr>
        <w:t xml:space="preserve">lead to inappropriate promotion </w:t>
      </w:r>
      <w:r w:rsidR="00414D3D">
        <w:rPr>
          <w:rFonts w:ascii="Arial" w:hAnsi="Arial" w:cs="Arial"/>
          <w:sz w:val="20"/>
          <w:szCs w:val="20"/>
        </w:rPr>
        <w:t>of antidepressants</w:t>
      </w:r>
      <w:r>
        <w:rPr>
          <w:rFonts w:ascii="Arial" w:hAnsi="Arial" w:cs="Arial"/>
          <w:sz w:val="20"/>
          <w:szCs w:val="20"/>
        </w:rPr>
        <w:t xml:space="preserve"> rather than encouraging self-help treatment options, but it was noted that the latter would be difficult to measure</w:t>
      </w:r>
      <w:r w:rsidR="000A3845">
        <w:rPr>
          <w:rFonts w:ascii="Arial" w:hAnsi="Arial" w:cs="Arial"/>
          <w:sz w:val="20"/>
          <w:szCs w:val="20"/>
        </w:rPr>
        <w:t>.</w:t>
      </w:r>
      <w:r w:rsidR="001940A6">
        <w:rPr>
          <w:rFonts w:ascii="Arial" w:hAnsi="Arial" w:cs="Arial"/>
          <w:sz w:val="20"/>
          <w:szCs w:val="20"/>
        </w:rPr>
        <w:t xml:space="preserve"> </w:t>
      </w:r>
    </w:p>
    <w:p w14:paraId="63425A16" w14:textId="09A3F41D" w:rsidR="00A51B57" w:rsidRDefault="00D1604D" w:rsidP="00F80DAB">
      <w:pPr>
        <w:tabs>
          <w:tab w:val="left" w:pos="709"/>
        </w:tabs>
        <w:spacing w:line="240" w:lineRule="auto"/>
        <w:rPr>
          <w:rFonts w:ascii="Arial" w:hAnsi="Arial" w:cs="Arial"/>
          <w:sz w:val="20"/>
          <w:szCs w:val="20"/>
        </w:rPr>
      </w:pPr>
      <w:r>
        <w:rPr>
          <w:rFonts w:ascii="Arial" w:hAnsi="Arial" w:cs="Arial"/>
          <w:sz w:val="20"/>
          <w:szCs w:val="20"/>
        </w:rPr>
        <w:t>The committee</w:t>
      </w:r>
      <w:r w:rsidR="001940A6">
        <w:rPr>
          <w:rFonts w:ascii="Arial" w:hAnsi="Arial" w:cs="Arial"/>
          <w:sz w:val="20"/>
          <w:szCs w:val="20"/>
        </w:rPr>
        <w:t xml:space="preserve"> suggested that </w:t>
      </w:r>
      <w:r w:rsidR="001C35E1">
        <w:rPr>
          <w:rFonts w:ascii="Arial" w:hAnsi="Arial" w:cs="Arial"/>
          <w:sz w:val="20"/>
          <w:szCs w:val="20"/>
        </w:rPr>
        <w:t xml:space="preserve">a new </w:t>
      </w:r>
      <w:r w:rsidR="001940A6">
        <w:rPr>
          <w:rFonts w:ascii="Arial" w:hAnsi="Arial" w:cs="Arial"/>
          <w:sz w:val="20"/>
          <w:szCs w:val="20"/>
        </w:rPr>
        <w:t xml:space="preserve">indicator should focus on de-prescribing antidepressants, </w:t>
      </w:r>
      <w:r w:rsidR="001C35E1">
        <w:rPr>
          <w:rFonts w:ascii="Arial" w:hAnsi="Arial" w:cs="Arial"/>
          <w:sz w:val="20"/>
          <w:szCs w:val="20"/>
        </w:rPr>
        <w:t>or</w:t>
      </w:r>
      <w:r w:rsidR="000A3845">
        <w:rPr>
          <w:rFonts w:ascii="Arial" w:hAnsi="Arial" w:cs="Arial"/>
          <w:sz w:val="20"/>
          <w:szCs w:val="20"/>
        </w:rPr>
        <w:t xml:space="preserve"> patient choice and satisfaction with treatment. </w:t>
      </w:r>
      <w:r w:rsidR="00267F04">
        <w:rPr>
          <w:rFonts w:ascii="Arial" w:hAnsi="Arial" w:cs="Arial"/>
          <w:sz w:val="20"/>
          <w:szCs w:val="20"/>
        </w:rPr>
        <w:t xml:space="preserve">The committee agreed that this indicator would not be a suitable replacement for the previously retired depression indicator. The NICE team highlighted that concerns on the tick box nature of the indicator were raised internally with implementation contacts. It was suggested that NHS England be consulted on the strategic direction in this area. </w:t>
      </w:r>
    </w:p>
    <w:p w14:paraId="20B69841" w14:textId="77777777" w:rsidR="00C134B4" w:rsidRDefault="00267F04" w:rsidP="00F80DAB">
      <w:pPr>
        <w:tabs>
          <w:tab w:val="left" w:pos="709"/>
        </w:tabs>
        <w:spacing w:line="240" w:lineRule="auto"/>
        <w:rPr>
          <w:rFonts w:ascii="Arial" w:hAnsi="Arial" w:cs="Arial"/>
          <w:b/>
          <w:bCs/>
          <w:sz w:val="20"/>
          <w:szCs w:val="20"/>
        </w:rPr>
      </w:pPr>
      <w:r>
        <w:rPr>
          <w:rFonts w:ascii="Arial" w:hAnsi="Arial" w:cs="Arial"/>
          <w:b/>
          <w:bCs/>
          <w:sz w:val="20"/>
          <w:szCs w:val="20"/>
        </w:rPr>
        <w:t xml:space="preserve">ACTION: NICE team to halt development on IND2023-154. </w:t>
      </w:r>
    </w:p>
    <w:p w14:paraId="4D017651" w14:textId="23F8D154" w:rsidR="00267F04" w:rsidRDefault="00C134B4" w:rsidP="00F80DAB">
      <w:pPr>
        <w:tabs>
          <w:tab w:val="left" w:pos="709"/>
        </w:tabs>
        <w:spacing w:line="240" w:lineRule="auto"/>
        <w:rPr>
          <w:rFonts w:ascii="Arial" w:hAnsi="Arial" w:cs="Arial"/>
          <w:b/>
          <w:bCs/>
          <w:sz w:val="20"/>
          <w:szCs w:val="20"/>
        </w:rPr>
      </w:pPr>
      <w:r>
        <w:rPr>
          <w:rFonts w:ascii="Arial" w:hAnsi="Arial" w:cs="Arial"/>
          <w:b/>
          <w:bCs/>
          <w:sz w:val="20"/>
          <w:szCs w:val="20"/>
        </w:rPr>
        <w:t xml:space="preserve">ACTION: </w:t>
      </w:r>
      <w:r w:rsidR="00267F04">
        <w:rPr>
          <w:rFonts w:ascii="Arial" w:hAnsi="Arial" w:cs="Arial"/>
          <w:b/>
          <w:bCs/>
          <w:sz w:val="20"/>
          <w:szCs w:val="20"/>
        </w:rPr>
        <w:t xml:space="preserve">NHS England to be consulted on new depression indicator. </w:t>
      </w:r>
    </w:p>
    <w:p w14:paraId="05FB52C5" w14:textId="03503707" w:rsidR="002055E9" w:rsidRDefault="00202887" w:rsidP="00F80DAB">
      <w:pPr>
        <w:spacing w:line="240" w:lineRule="auto"/>
        <w:rPr>
          <w:rFonts w:ascii="Arial" w:hAnsi="Arial" w:cs="Arial"/>
          <w:b/>
          <w:sz w:val="20"/>
          <w:szCs w:val="20"/>
        </w:rPr>
      </w:pPr>
      <w:r w:rsidRPr="00DE48C5">
        <w:rPr>
          <w:rFonts w:ascii="Arial" w:hAnsi="Arial" w:cs="Arial"/>
          <w:b/>
          <w:sz w:val="20"/>
          <w:szCs w:val="20"/>
        </w:rPr>
        <w:t xml:space="preserve">Item </w:t>
      </w:r>
      <w:r>
        <w:rPr>
          <w:rFonts w:ascii="Arial" w:hAnsi="Arial" w:cs="Arial"/>
          <w:b/>
          <w:sz w:val="20"/>
          <w:szCs w:val="20"/>
        </w:rPr>
        <w:t>3</w:t>
      </w:r>
      <w:r w:rsidRPr="00DE48C5">
        <w:rPr>
          <w:rFonts w:ascii="Arial" w:hAnsi="Arial" w:cs="Arial"/>
          <w:b/>
          <w:sz w:val="20"/>
          <w:szCs w:val="20"/>
        </w:rPr>
        <w:t xml:space="preserve"> – </w:t>
      </w:r>
      <w:r w:rsidR="002055E9">
        <w:rPr>
          <w:rFonts w:ascii="Arial" w:hAnsi="Arial" w:cs="Arial"/>
          <w:b/>
          <w:sz w:val="20"/>
          <w:szCs w:val="20"/>
        </w:rPr>
        <w:t xml:space="preserve">Existing NICE indicators </w:t>
      </w:r>
    </w:p>
    <w:p w14:paraId="53F78DF1" w14:textId="47967363" w:rsidR="002055E9" w:rsidRDefault="002055E9" w:rsidP="00F80DAB">
      <w:pPr>
        <w:spacing w:line="240" w:lineRule="auto"/>
        <w:rPr>
          <w:rFonts w:ascii="Arial" w:hAnsi="Arial" w:cs="Arial"/>
          <w:bCs/>
          <w:sz w:val="20"/>
          <w:szCs w:val="20"/>
        </w:rPr>
      </w:pPr>
      <w:r>
        <w:rPr>
          <w:rFonts w:ascii="Arial" w:hAnsi="Arial" w:cs="Arial"/>
          <w:bCs/>
          <w:sz w:val="20"/>
          <w:szCs w:val="20"/>
        </w:rPr>
        <w:t>RG notified the committee that NICE carried out a review of 46 GP and CCG indicators on the NICE menu analysing minimum population numbers, alignments with NICE guidance, and to provide feedback on validity concerns. It was noted that 3 indicators had been identified for which there are proposed amendments, and 2 indicators for which retirement is proposed.</w:t>
      </w:r>
    </w:p>
    <w:p w14:paraId="22E2C98A" w14:textId="53501BC4" w:rsidR="002055E9" w:rsidRPr="002055E9" w:rsidRDefault="002055E9" w:rsidP="00F80DAB">
      <w:pPr>
        <w:spacing w:line="240" w:lineRule="auto"/>
        <w:rPr>
          <w:rFonts w:ascii="Arial" w:hAnsi="Arial" w:cs="Arial"/>
          <w:bCs/>
          <w:i/>
          <w:iCs/>
          <w:sz w:val="20"/>
          <w:szCs w:val="20"/>
        </w:rPr>
      </w:pPr>
      <w:r w:rsidRPr="002055E9">
        <w:rPr>
          <w:rFonts w:ascii="Arial" w:hAnsi="Arial" w:cs="Arial"/>
          <w:bCs/>
          <w:sz w:val="20"/>
          <w:szCs w:val="20"/>
        </w:rPr>
        <w:t xml:space="preserve">CCG01: Cancer - </w:t>
      </w:r>
      <w:r w:rsidRPr="002055E9">
        <w:rPr>
          <w:rFonts w:ascii="Arial" w:hAnsi="Arial" w:cs="Arial"/>
          <w:bCs/>
          <w:i/>
          <w:iCs/>
          <w:sz w:val="20"/>
          <w:szCs w:val="20"/>
        </w:rPr>
        <w:t>The proportion of invasive cases of cancer diagnosed via an emergency route.</w:t>
      </w:r>
    </w:p>
    <w:p w14:paraId="4477E44B" w14:textId="77777777" w:rsidR="002055E9" w:rsidRPr="002055E9" w:rsidRDefault="002055E9" w:rsidP="00F80DAB">
      <w:pPr>
        <w:pStyle w:val="ListParagraph"/>
        <w:numPr>
          <w:ilvl w:val="0"/>
          <w:numId w:val="9"/>
        </w:numPr>
        <w:spacing w:line="240" w:lineRule="auto"/>
        <w:rPr>
          <w:rFonts w:ascii="Arial" w:hAnsi="Arial" w:cs="Arial"/>
          <w:bCs/>
          <w:sz w:val="20"/>
          <w:szCs w:val="20"/>
        </w:rPr>
      </w:pPr>
      <w:r w:rsidRPr="002055E9">
        <w:rPr>
          <w:rFonts w:ascii="Arial" w:hAnsi="Arial" w:cs="Arial"/>
          <w:bCs/>
          <w:sz w:val="20"/>
          <w:szCs w:val="20"/>
        </w:rPr>
        <w:t xml:space="preserve">First published on NICE menu in 2013. Never in CCGOIS. </w:t>
      </w:r>
    </w:p>
    <w:p w14:paraId="467DE76A" w14:textId="77777777" w:rsidR="002055E9" w:rsidRPr="002055E9" w:rsidRDefault="002055E9" w:rsidP="00F80DAB">
      <w:pPr>
        <w:pStyle w:val="ListParagraph"/>
        <w:numPr>
          <w:ilvl w:val="0"/>
          <w:numId w:val="9"/>
        </w:numPr>
        <w:spacing w:line="240" w:lineRule="auto"/>
        <w:rPr>
          <w:rFonts w:ascii="Arial" w:hAnsi="Arial" w:cs="Arial"/>
          <w:bCs/>
          <w:sz w:val="20"/>
          <w:szCs w:val="20"/>
        </w:rPr>
      </w:pPr>
      <w:r w:rsidRPr="002055E9">
        <w:rPr>
          <w:rFonts w:ascii="Arial" w:hAnsi="Arial" w:cs="Arial"/>
          <w:bCs/>
          <w:sz w:val="20"/>
          <w:szCs w:val="20"/>
        </w:rPr>
        <w:t xml:space="preserve">Metric developed by </w:t>
      </w:r>
      <w:hyperlink r:id="rId8" w:history="1">
        <w:r w:rsidRPr="002055E9">
          <w:rPr>
            <w:rStyle w:val="Hyperlink"/>
            <w:rFonts w:ascii="Arial" w:hAnsi="Arial" w:cs="Arial"/>
            <w:bCs/>
            <w:sz w:val="20"/>
            <w:szCs w:val="20"/>
          </w:rPr>
          <w:t>National Cancer Registration and Analysis Service (NCRAS)</w:t>
        </w:r>
      </w:hyperlink>
      <w:r w:rsidRPr="002055E9">
        <w:rPr>
          <w:rFonts w:ascii="Arial" w:hAnsi="Arial" w:cs="Arial"/>
          <w:bCs/>
          <w:sz w:val="20"/>
          <w:szCs w:val="20"/>
        </w:rPr>
        <w:t xml:space="preserve"> </w:t>
      </w:r>
    </w:p>
    <w:p w14:paraId="6723A300" w14:textId="77777777" w:rsidR="002055E9" w:rsidRPr="002055E9" w:rsidRDefault="002055E9" w:rsidP="00F80DAB">
      <w:pPr>
        <w:pStyle w:val="ListParagraph"/>
        <w:numPr>
          <w:ilvl w:val="0"/>
          <w:numId w:val="9"/>
        </w:numPr>
        <w:spacing w:line="240" w:lineRule="auto"/>
        <w:rPr>
          <w:rFonts w:ascii="Arial" w:hAnsi="Arial" w:cs="Arial"/>
          <w:bCs/>
          <w:sz w:val="20"/>
          <w:szCs w:val="20"/>
        </w:rPr>
      </w:pPr>
      <w:r w:rsidRPr="002055E9">
        <w:rPr>
          <w:rFonts w:ascii="Arial" w:hAnsi="Arial" w:cs="Arial"/>
          <w:bCs/>
          <w:sz w:val="20"/>
          <w:szCs w:val="20"/>
        </w:rPr>
        <w:t xml:space="preserve">Data source: </w:t>
      </w:r>
      <w:hyperlink r:id="rId9" w:history="1">
        <w:r w:rsidRPr="002055E9">
          <w:rPr>
            <w:rStyle w:val="Hyperlink"/>
            <w:rFonts w:ascii="Arial" w:hAnsi="Arial" w:cs="Arial"/>
            <w:bCs/>
            <w:sz w:val="20"/>
            <w:szCs w:val="20"/>
          </w:rPr>
          <w:t>NHS England’s Emergency presentations of cancer, quarterly data</w:t>
        </w:r>
      </w:hyperlink>
      <w:r w:rsidRPr="002055E9">
        <w:rPr>
          <w:rFonts w:ascii="Arial" w:hAnsi="Arial" w:cs="Arial"/>
          <w:bCs/>
          <w:sz w:val="20"/>
          <w:szCs w:val="20"/>
        </w:rPr>
        <w:t>.</w:t>
      </w:r>
    </w:p>
    <w:p w14:paraId="63E1D9D6" w14:textId="77777777" w:rsidR="00FC68A7" w:rsidRDefault="002055E9" w:rsidP="00F80DAB">
      <w:pPr>
        <w:pStyle w:val="ListParagraph"/>
        <w:numPr>
          <w:ilvl w:val="0"/>
          <w:numId w:val="9"/>
        </w:numPr>
        <w:spacing w:line="240" w:lineRule="auto"/>
        <w:rPr>
          <w:rFonts w:ascii="Arial" w:hAnsi="Arial" w:cs="Arial"/>
          <w:bCs/>
          <w:sz w:val="20"/>
          <w:szCs w:val="20"/>
        </w:rPr>
      </w:pPr>
      <w:r w:rsidRPr="002055E9">
        <w:rPr>
          <w:rFonts w:ascii="Arial" w:hAnsi="Arial" w:cs="Arial"/>
          <w:bCs/>
          <w:sz w:val="20"/>
          <w:szCs w:val="20"/>
        </w:rPr>
        <w:t xml:space="preserve">Purpose of the amendments: clarify the denominator and exclusion criteria.  </w:t>
      </w:r>
    </w:p>
    <w:p w14:paraId="707D27DA" w14:textId="732169B9" w:rsidR="00FC68A7" w:rsidRDefault="00FC68A7" w:rsidP="00F80DAB">
      <w:pPr>
        <w:pStyle w:val="ListParagraph"/>
        <w:numPr>
          <w:ilvl w:val="0"/>
          <w:numId w:val="9"/>
        </w:numPr>
        <w:spacing w:line="240" w:lineRule="auto"/>
        <w:rPr>
          <w:rFonts w:ascii="Arial" w:hAnsi="Arial" w:cs="Arial"/>
          <w:bCs/>
          <w:sz w:val="20"/>
          <w:szCs w:val="20"/>
        </w:rPr>
      </w:pPr>
      <w:r w:rsidRPr="00FC68A7">
        <w:rPr>
          <w:rFonts w:ascii="Arial" w:hAnsi="Arial" w:cs="Arial"/>
          <w:bCs/>
          <w:sz w:val="20"/>
          <w:szCs w:val="20"/>
        </w:rPr>
        <w:t xml:space="preserve">The committee is asked to approve the amendments. </w:t>
      </w:r>
    </w:p>
    <w:p w14:paraId="7313588A" w14:textId="7B2D5FA1" w:rsidR="00FC68A7" w:rsidRPr="00FC68A7" w:rsidRDefault="00FC68A7" w:rsidP="00F80DAB">
      <w:pPr>
        <w:spacing w:line="240" w:lineRule="auto"/>
        <w:rPr>
          <w:rFonts w:ascii="Arial" w:hAnsi="Arial" w:cs="Arial"/>
          <w:b/>
          <w:sz w:val="20"/>
          <w:szCs w:val="20"/>
        </w:rPr>
      </w:pPr>
      <w:r w:rsidRPr="00FC68A7">
        <w:rPr>
          <w:rFonts w:ascii="Arial" w:hAnsi="Arial" w:cs="Arial"/>
          <w:b/>
          <w:sz w:val="20"/>
          <w:szCs w:val="20"/>
        </w:rPr>
        <w:t>ACTION: The committee agreed with the proposed amendments</w:t>
      </w:r>
      <w:r w:rsidR="00702B9C">
        <w:rPr>
          <w:rFonts w:ascii="Arial" w:hAnsi="Arial" w:cs="Arial"/>
          <w:b/>
          <w:sz w:val="20"/>
          <w:szCs w:val="20"/>
        </w:rPr>
        <w:t xml:space="preserve"> to this indicator</w:t>
      </w:r>
      <w:r w:rsidRPr="00FC68A7">
        <w:rPr>
          <w:rFonts w:ascii="Arial" w:hAnsi="Arial" w:cs="Arial"/>
          <w:b/>
          <w:sz w:val="20"/>
          <w:szCs w:val="20"/>
        </w:rPr>
        <w:t>.</w:t>
      </w:r>
    </w:p>
    <w:p w14:paraId="2CC588FF" w14:textId="45D0B8E2" w:rsidR="002055E9" w:rsidRPr="002055E9" w:rsidRDefault="002055E9" w:rsidP="00F80DAB">
      <w:pPr>
        <w:spacing w:line="240" w:lineRule="auto"/>
        <w:rPr>
          <w:rFonts w:ascii="Arial" w:hAnsi="Arial" w:cs="Arial"/>
          <w:bCs/>
          <w:i/>
          <w:iCs/>
          <w:sz w:val="20"/>
          <w:szCs w:val="20"/>
        </w:rPr>
      </w:pPr>
      <w:r w:rsidRPr="002055E9">
        <w:rPr>
          <w:rFonts w:ascii="Arial" w:hAnsi="Arial" w:cs="Arial"/>
          <w:bCs/>
          <w:sz w:val="20"/>
          <w:szCs w:val="20"/>
        </w:rPr>
        <w:t xml:space="preserve">CCG83: Cancer - </w:t>
      </w:r>
      <w:r w:rsidRPr="002055E9">
        <w:rPr>
          <w:rFonts w:ascii="Arial" w:hAnsi="Arial" w:cs="Arial"/>
          <w:bCs/>
          <w:i/>
          <w:iCs/>
          <w:sz w:val="20"/>
          <w:szCs w:val="20"/>
        </w:rPr>
        <w:t>The proportion of eligible people aged 60-74 years whose record shows a bowel screening test has been performed within the last 2.5 years</w:t>
      </w:r>
      <w:r>
        <w:rPr>
          <w:rFonts w:ascii="Arial" w:hAnsi="Arial" w:cs="Arial"/>
          <w:bCs/>
          <w:i/>
          <w:iCs/>
          <w:sz w:val="20"/>
          <w:szCs w:val="20"/>
        </w:rPr>
        <w:t>.</w:t>
      </w:r>
    </w:p>
    <w:p w14:paraId="14E6E3D7" w14:textId="77777777" w:rsidR="002055E9" w:rsidRPr="00716F6E" w:rsidRDefault="002055E9" w:rsidP="00F80DAB">
      <w:pPr>
        <w:pStyle w:val="ListParagraph"/>
        <w:numPr>
          <w:ilvl w:val="0"/>
          <w:numId w:val="12"/>
        </w:numPr>
        <w:spacing w:line="240" w:lineRule="auto"/>
        <w:rPr>
          <w:rFonts w:ascii="Arial" w:hAnsi="Arial" w:cs="Arial"/>
          <w:bCs/>
          <w:sz w:val="20"/>
          <w:szCs w:val="20"/>
        </w:rPr>
      </w:pPr>
      <w:r w:rsidRPr="00716F6E">
        <w:rPr>
          <w:rFonts w:ascii="Arial" w:hAnsi="Arial" w:cs="Arial"/>
          <w:bCs/>
          <w:sz w:val="20"/>
          <w:szCs w:val="20"/>
        </w:rPr>
        <w:t>Published on NICE menu in 2017. Not published in CCGOIS.</w:t>
      </w:r>
    </w:p>
    <w:p w14:paraId="78BF754F" w14:textId="31A77624" w:rsidR="002055E9" w:rsidRPr="00716F6E" w:rsidRDefault="00716F6E" w:rsidP="00F80DAB">
      <w:pPr>
        <w:pStyle w:val="ListParagraph"/>
        <w:numPr>
          <w:ilvl w:val="0"/>
          <w:numId w:val="13"/>
        </w:numPr>
        <w:spacing w:line="240" w:lineRule="auto"/>
        <w:rPr>
          <w:rFonts w:ascii="Arial" w:hAnsi="Arial" w:cs="Arial"/>
          <w:bCs/>
          <w:sz w:val="20"/>
          <w:szCs w:val="20"/>
        </w:rPr>
      </w:pPr>
      <w:r>
        <w:rPr>
          <w:rFonts w:ascii="Arial" w:hAnsi="Arial" w:cs="Arial"/>
          <w:bCs/>
          <w:sz w:val="20"/>
          <w:szCs w:val="20"/>
        </w:rPr>
        <w:t>I</w:t>
      </w:r>
      <w:r w:rsidR="002055E9" w:rsidRPr="00716F6E">
        <w:rPr>
          <w:rFonts w:ascii="Arial" w:hAnsi="Arial" w:cs="Arial"/>
          <w:bCs/>
          <w:sz w:val="20"/>
          <w:szCs w:val="20"/>
        </w:rPr>
        <w:t xml:space="preserve">ndicators on coverage in the </w:t>
      </w:r>
      <w:hyperlink r:id="rId10" w:history="1">
        <w:r w:rsidR="002055E9" w:rsidRPr="00716F6E">
          <w:rPr>
            <w:rStyle w:val="Hyperlink"/>
            <w:rFonts w:ascii="Arial" w:hAnsi="Arial" w:cs="Arial"/>
            <w:bCs/>
            <w:sz w:val="20"/>
            <w:szCs w:val="20"/>
          </w:rPr>
          <w:t>Public Health Outcomes Framework (PHOF)</w:t>
        </w:r>
      </w:hyperlink>
      <w:r w:rsidR="002055E9" w:rsidRPr="00716F6E">
        <w:rPr>
          <w:rFonts w:ascii="Arial" w:hAnsi="Arial" w:cs="Arial"/>
          <w:bCs/>
          <w:sz w:val="20"/>
          <w:szCs w:val="20"/>
        </w:rPr>
        <w:t xml:space="preserve">. </w:t>
      </w:r>
    </w:p>
    <w:p w14:paraId="3B8844A0" w14:textId="40EBFA1A" w:rsidR="00FC68A7" w:rsidRDefault="002055E9" w:rsidP="00F80DAB">
      <w:pPr>
        <w:pStyle w:val="ListParagraph"/>
        <w:numPr>
          <w:ilvl w:val="0"/>
          <w:numId w:val="13"/>
        </w:numPr>
        <w:spacing w:line="240" w:lineRule="auto"/>
        <w:rPr>
          <w:rFonts w:ascii="Arial" w:hAnsi="Arial" w:cs="Arial"/>
          <w:bCs/>
          <w:sz w:val="20"/>
          <w:szCs w:val="20"/>
        </w:rPr>
      </w:pPr>
      <w:r w:rsidRPr="00716F6E">
        <w:rPr>
          <w:rFonts w:ascii="Arial" w:hAnsi="Arial" w:cs="Arial"/>
          <w:bCs/>
          <w:sz w:val="20"/>
          <w:szCs w:val="20"/>
        </w:rPr>
        <w:t xml:space="preserve">Purpose of amendments: align with standards for data collection for the </w:t>
      </w:r>
      <w:hyperlink r:id="rId11" w:history="1">
        <w:r w:rsidRPr="00716F6E">
          <w:rPr>
            <w:rStyle w:val="Hyperlink"/>
            <w:rFonts w:ascii="Arial" w:hAnsi="Arial" w:cs="Arial"/>
            <w:bCs/>
            <w:sz w:val="20"/>
            <w:szCs w:val="20"/>
          </w:rPr>
          <w:t>bowel screening programme (coverage)</w:t>
        </w:r>
      </w:hyperlink>
      <w:r w:rsidR="00716F6E" w:rsidRPr="00716F6E">
        <w:rPr>
          <w:rFonts w:ascii="Arial" w:hAnsi="Arial" w:cs="Arial"/>
          <w:bCs/>
          <w:sz w:val="20"/>
          <w:szCs w:val="20"/>
        </w:rPr>
        <w:t xml:space="preserve">, and to </w:t>
      </w:r>
      <w:r w:rsidRPr="00716F6E">
        <w:rPr>
          <w:rFonts w:ascii="Arial" w:hAnsi="Arial" w:cs="Arial"/>
          <w:bCs/>
          <w:sz w:val="20"/>
          <w:szCs w:val="20"/>
        </w:rPr>
        <w:t xml:space="preserve">improve consistency of data collection and provide more accurate indication of achievement. </w:t>
      </w:r>
    </w:p>
    <w:p w14:paraId="1E523580" w14:textId="1033FE13" w:rsidR="00FC68A7" w:rsidRPr="00FC68A7" w:rsidRDefault="00FC68A7" w:rsidP="00F80DAB">
      <w:pPr>
        <w:pStyle w:val="ListParagraph"/>
        <w:numPr>
          <w:ilvl w:val="0"/>
          <w:numId w:val="13"/>
        </w:numPr>
        <w:spacing w:line="240" w:lineRule="auto"/>
        <w:rPr>
          <w:rFonts w:ascii="Arial" w:hAnsi="Arial" w:cs="Arial"/>
          <w:bCs/>
          <w:sz w:val="20"/>
          <w:szCs w:val="20"/>
        </w:rPr>
      </w:pPr>
      <w:r w:rsidRPr="00FC68A7">
        <w:rPr>
          <w:rFonts w:ascii="Arial" w:hAnsi="Arial" w:cs="Arial"/>
          <w:bCs/>
          <w:sz w:val="20"/>
          <w:szCs w:val="20"/>
        </w:rPr>
        <w:t>The committee is asked to consider the proposed amendments to the indicator specification.</w:t>
      </w:r>
    </w:p>
    <w:p w14:paraId="7F4F8CC6" w14:textId="7DF4D4F6" w:rsidR="00FC68A7" w:rsidRPr="00FC68A7" w:rsidRDefault="00FC68A7" w:rsidP="00F80DAB">
      <w:pPr>
        <w:spacing w:line="240" w:lineRule="auto"/>
        <w:rPr>
          <w:rFonts w:ascii="Arial" w:hAnsi="Arial" w:cs="Arial"/>
          <w:b/>
          <w:sz w:val="20"/>
          <w:szCs w:val="20"/>
        </w:rPr>
      </w:pPr>
      <w:r w:rsidRPr="00FC68A7">
        <w:rPr>
          <w:rFonts w:ascii="Arial" w:hAnsi="Arial" w:cs="Arial"/>
          <w:b/>
          <w:sz w:val="20"/>
          <w:szCs w:val="20"/>
        </w:rPr>
        <w:t>ACTION: The committee agreed with the proposed amendments</w:t>
      </w:r>
      <w:r w:rsidR="00702B9C">
        <w:rPr>
          <w:rFonts w:ascii="Arial" w:hAnsi="Arial" w:cs="Arial"/>
          <w:b/>
          <w:sz w:val="20"/>
          <w:szCs w:val="20"/>
        </w:rPr>
        <w:t xml:space="preserve"> to this indicator</w:t>
      </w:r>
      <w:r w:rsidRPr="00FC68A7">
        <w:rPr>
          <w:rFonts w:ascii="Arial" w:hAnsi="Arial" w:cs="Arial"/>
          <w:b/>
          <w:sz w:val="20"/>
          <w:szCs w:val="20"/>
        </w:rPr>
        <w:t>.</w:t>
      </w:r>
    </w:p>
    <w:p w14:paraId="4521B4DD" w14:textId="2D4C7A1D" w:rsidR="00716F6E" w:rsidRPr="002055E9" w:rsidRDefault="00716F6E" w:rsidP="00F80DAB">
      <w:pPr>
        <w:spacing w:line="240" w:lineRule="auto"/>
        <w:rPr>
          <w:rFonts w:ascii="Arial" w:hAnsi="Arial" w:cs="Arial"/>
          <w:bCs/>
          <w:i/>
          <w:iCs/>
          <w:sz w:val="20"/>
          <w:szCs w:val="20"/>
        </w:rPr>
      </w:pPr>
      <w:r w:rsidRPr="002055E9">
        <w:rPr>
          <w:rFonts w:ascii="Arial" w:hAnsi="Arial" w:cs="Arial"/>
          <w:bCs/>
          <w:sz w:val="20"/>
          <w:szCs w:val="20"/>
        </w:rPr>
        <w:t>CCG8</w:t>
      </w:r>
      <w:r>
        <w:rPr>
          <w:rFonts w:ascii="Arial" w:hAnsi="Arial" w:cs="Arial"/>
          <w:bCs/>
          <w:sz w:val="20"/>
          <w:szCs w:val="20"/>
        </w:rPr>
        <w:t>4</w:t>
      </w:r>
      <w:r w:rsidRPr="002055E9">
        <w:rPr>
          <w:rFonts w:ascii="Arial" w:hAnsi="Arial" w:cs="Arial"/>
          <w:bCs/>
          <w:sz w:val="20"/>
          <w:szCs w:val="20"/>
        </w:rPr>
        <w:t xml:space="preserve">: Cancer - </w:t>
      </w:r>
      <w:r w:rsidRPr="00716F6E">
        <w:rPr>
          <w:rFonts w:ascii="Arial" w:hAnsi="Arial" w:cs="Arial"/>
          <w:bCs/>
          <w:i/>
          <w:iCs/>
          <w:sz w:val="20"/>
          <w:szCs w:val="20"/>
        </w:rPr>
        <w:t>The proportion of women aged 50-70 years whose record shows a breast screening test has been performed within the last 3 years.</w:t>
      </w:r>
    </w:p>
    <w:p w14:paraId="500C2CF4" w14:textId="77777777" w:rsidR="00716F6E" w:rsidRPr="00716F6E" w:rsidRDefault="00716F6E" w:rsidP="00F80DAB">
      <w:pPr>
        <w:pStyle w:val="ListParagraph"/>
        <w:numPr>
          <w:ilvl w:val="0"/>
          <w:numId w:val="15"/>
        </w:numPr>
        <w:spacing w:line="240" w:lineRule="auto"/>
        <w:rPr>
          <w:rFonts w:ascii="Arial" w:hAnsi="Arial" w:cs="Arial"/>
          <w:bCs/>
          <w:sz w:val="20"/>
          <w:szCs w:val="20"/>
        </w:rPr>
      </w:pPr>
      <w:r w:rsidRPr="00716F6E">
        <w:rPr>
          <w:rFonts w:ascii="Arial" w:hAnsi="Arial" w:cs="Arial"/>
          <w:bCs/>
          <w:sz w:val="20"/>
          <w:szCs w:val="20"/>
        </w:rPr>
        <w:t>Published on NICE menu in 2017. Not published in CCGOIS.</w:t>
      </w:r>
    </w:p>
    <w:p w14:paraId="7E25723D" w14:textId="77777777" w:rsidR="00716F6E" w:rsidRPr="00716F6E" w:rsidRDefault="00716F6E" w:rsidP="00F80DAB">
      <w:pPr>
        <w:pStyle w:val="ListParagraph"/>
        <w:numPr>
          <w:ilvl w:val="0"/>
          <w:numId w:val="15"/>
        </w:numPr>
        <w:spacing w:line="240" w:lineRule="auto"/>
        <w:rPr>
          <w:rFonts w:ascii="Arial" w:hAnsi="Arial" w:cs="Arial"/>
          <w:bCs/>
          <w:sz w:val="20"/>
          <w:szCs w:val="20"/>
        </w:rPr>
      </w:pPr>
      <w:r w:rsidRPr="00716F6E">
        <w:rPr>
          <w:rFonts w:ascii="Arial" w:hAnsi="Arial" w:cs="Arial"/>
          <w:bCs/>
          <w:sz w:val="20"/>
          <w:szCs w:val="20"/>
        </w:rPr>
        <w:t xml:space="preserve">2 indicators on coverage in the </w:t>
      </w:r>
      <w:hyperlink r:id="rId12" w:history="1">
        <w:r w:rsidRPr="00716F6E">
          <w:rPr>
            <w:rStyle w:val="Hyperlink"/>
            <w:rFonts w:ascii="Arial" w:hAnsi="Arial" w:cs="Arial"/>
            <w:bCs/>
            <w:sz w:val="20"/>
            <w:szCs w:val="20"/>
          </w:rPr>
          <w:t>Public Health Outcomes Framework (PHOF)</w:t>
        </w:r>
      </w:hyperlink>
      <w:r w:rsidRPr="00716F6E">
        <w:rPr>
          <w:rFonts w:ascii="Arial" w:hAnsi="Arial" w:cs="Arial"/>
          <w:bCs/>
          <w:sz w:val="20"/>
          <w:szCs w:val="20"/>
        </w:rPr>
        <w:t xml:space="preserve">. </w:t>
      </w:r>
    </w:p>
    <w:p w14:paraId="4FF5BBFC" w14:textId="2535F2D7" w:rsidR="00FC68A7" w:rsidRDefault="00716F6E" w:rsidP="00F80DAB">
      <w:pPr>
        <w:pStyle w:val="ListParagraph"/>
        <w:numPr>
          <w:ilvl w:val="0"/>
          <w:numId w:val="15"/>
        </w:numPr>
        <w:spacing w:line="240" w:lineRule="auto"/>
        <w:rPr>
          <w:rFonts w:ascii="Arial" w:hAnsi="Arial" w:cs="Arial"/>
          <w:bCs/>
          <w:sz w:val="20"/>
          <w:szCs w:val="20"/>
        </w:rPr>
      </w:pPr>
      <w:r w:rsidRPr="00716F6E">
        <w:rPr>
          <w:rFonts w:ascii="Arial" w:hAnsi="Arial" w:cs="Arial"/>
          <w:bCs/>
          <w:sz w:val="20"/>
          <w:szCs w:val="20"/>
        </w:rPr>
        <w:t xml:space="preserve">Purpose of amendments: align with standards for data collection for the </w:t>
      </w:r>
      <w:hyperlink r:id="rId13" w:history="1">
        <w:r w:rsidRPr="00716F6E">
          <w:rPr>
            <w:rStyle w:val="Hyperlink"/>
            <w:rFonts w:ascii="Arial" w:hAnsi="Arial" w:cs="Arial"/>
            <w:bCs/>
            <w:sz w:val="20"/>
            <w:szCs w:val="20"/>
          </w:rPr>
          <w:t>breast screening programme (coverage)</w:t>
        </w:r>
      </w:hyperlink>
      <w:r w:rsidRPr="00716F6E">
        <w:rPr>
          <w:rFonts w:ascii="Arial" w:hAnsi="Arial" w:cs="Arial"/>
          <w:bCs/>
          <w:sz w:val="20"/>
          <w:szCs w:val="20"/>
        </w:rPr>
        <w:t xml:space="preserve">, and to improve consistency of data collection and provide a more accurate indication of achievement. </w:t>
      </w:r>
    </w:p>
    <w:p w14:paraId="43E1C72C" w14:textId="77777777" w:rsidR="00D44012" w:rsidRDefault="00FC68A7" w:rsidP="00F80DAB">
      <w:pPr>
        <w:pStyle w:val="ListParagraph"/>
        <w:numPr>
          <w:ilvl w:val="0"/>
          <w:numId w:val="15"/>
        </w:numPr>
        <w:spacing w:line="240" w:lineRule="auto"/>
        <w:rPr>
          <w:rFonts w:ascii="Arial" w:hAnsi="Arial" w:cs="Arial"/>
          <w:bCs/>
          <w:sz w:val="20"/>
          <w:szCs w:val="20"/>
        </w:rPr>
      </w:pPr>
      <w:r w:rsidRPr="00FC68A7">
        <w:rPr>
          <w:rFonts w:ascii="Arial" w:hAnsi="Arial" w:cs="Arial"/>
          <w:bCs/>
          <w:sz w:val="20"/>
          <w:szCs w:val="20"/>
        </w:rPr>
        <w:t>The committee is asked to consider the proposed amendments to the indicator specification.</w:t>
      </w:r>
    </w:p>
    <w:p w14:paraId="12BE7DBA" w14:textId="3E800E1B" w:rsidR="00FC68A7" w:rsidRPr="00D44012" w:rsidRDefault="00D44012" w:rsidP="00F80DAB">
      <w:pPr>
        <w:spacing w:line="240" w:lineRule="auto"/>
        <w:rPr>
          <w:rFonts w:ascii="Arial" w:hAnsi="Arial" w:cs="Arial"/>
          <w:bCs/>
          <w:sz w:val="20"/>
          <w:szCs w:val="20"/>
        </w:rPr>
      </w:pPr>
      <w:r>
        <w:rPr>
          <w:rFonts w:ascii="Arial" w:hAnsi="Arial" w:cs="Arial"/>
          <w:bCs/>
          <w:sz w:val="20"/>
          <w:szCs w:val="20"/>
        </w:rPr>
        <w:lastRenderedPageBreak/>
        <w:t>Members queried as to whether trans women would be excluded from this indicator. It was noted that the indicator would have to follow the screening programme standards that do</w:t>
      </w:r>
      <w:r w:rsidR="00610CEF">
        <w:rPr>
          <w:rFonts w:ascii="Arial" w:hAnsi="Arial" w:cs="Arial"/>
          <w:bCs/>
          <w:sz w:val="20"/>
          <w:szCs w:val="20"/>
        </w:rPr>
        <w:t>es not invite</w:t>
      </w:r>
      <w:r>
        <w:rPr>
          <w:rFonts w:ascii="Arial" w:hAnsi="Arial" w:cs="Arial"/>
          <w:bCs/>
          <w:sz w:val="20"/>
          <w:szCs w:val="20"/>
        </w:rPr>
        <w:t xml:space="preserve"> trans women</w:t>
      </w:r>
      <w:r w:rsidR="00610CEF">
        <w:rPr>
          <w:rFonts w:ascii="Arial" w:hAnsi="Arial" w:cs="Arial"/>
          <w:bCs/>
          <w:sz w:val="20"/>
          <w:szCs w:val="20"/>
        </w:rPr>
        <w:t xml:space="preserve">, but that guidance does provide instructions to all groups who are not invited. </w:t>
      </w:r>
      <w:r>
        <w:rPr>
          <w:rFonts w:ascii="Arial" w:hAnsi="Arial" w:cs="Arial"/>
          <w:bCs/>
          <w:sz w:val="20"/>
          <w:szCs w:val="20"/>
        </w:rPr>
        <w:t xml:space="preserve"> </w:t>
      </w:r>
      <w:r w:rsidR="00FC68A7" w:rsidRPr="00D44012">
        <w:rPr>
          <w:rFonts w:ascii="Arial" w:hAnsi="Arial" w:cs="Arial"/>
          <w:bCs/>
          <w:sz w:val="20"/>
          <w:szCs w:val="20"/>
        </w:rPr>
        <w:t xml:space="preserve"> </w:t>
      </w:r>
    </w:p>
    <w:p w14:paraId="45968431" w14:textId="14DD50E9" w:rsidR="00FC68A7" w:rsidRPr="00FC68A7" w:rsidRDefault="00FC68A7" w:rsidP="00F80DAB">
      <w:pPr>
        <w:spacing w:line="240" w:lineRule="auto"/>
        <w:rPr>
          <w:rFonts w:ascii="Arial" w:hAnsi="Arial" w:cs="Arial"/>
          <w:b/>
          <w:sz w:val="20"/>
          <w:szCs w:val="20"/>
        </w:rPr>
      </w:pPr>
      <w:r w:rsidRPr="00FC68A7">
        <w:rPr>
          <w:rFonts w:ascii="Arial" w:hAnsi="Arial" w:cs="Arial"/>
          <w:b/>
          <w:sz w:val="20"/>
          <w:szCs w:val="20"/>
        </w:rPr>
        <w:t>ACTION: The committee agreed with the proposed amendments</w:t>
      </w:r>
      <w:r w:rsidR="00702B9C">
        <w:rPr>
          <w:rFonts w:ascii="Arial" w:hAnsi="Arial" w:cs="Arial"/>
          <w:b/>
          <w:sz w:val="20"/>
          <w:szCs w:val="20"/>
        </w:rPr>
        <w:t xml:space="preserve"> to this indicator</w:t>
      </w:r>
      <w:r w:rsidRPr="00FC68A7">
        <w:rPr>
          <w:rFonts w:ascii="Arial" w:hAnsi="Arial" w:cs="Arial"/>
          <w:b/>
          <w:sz w:val="20"/>
          <w:szCs w:val="20"/>
        </w:rPr>
        <w:t>.</w:t>
      </w:r>
    </w:p>
    <w:p w14:paraId="40205ABB" w14:textId="142A7458" w:rsidR="00716F6E" w:rsidRPr="002055E9" w:rsidRDefault="00716F6E" w:rsidP="00F80DAB">
      <w:pPr>
        <w:spacing w:line="240" w:lineRule="auto"/>
        <w:rPr>
          <w:rFonts w:ascii="Arial" w:hAnsi="Arial" w:cs="Arial"/>
          <w:bCs/>
          <w:i/>
          <w:iCs/>
          <w:sz w:val="20"/>
          <w:szCs w:val="20"/>
        </w:rPr>
      </w:pPr>
      <w:r w:rsidRPr="002055E9">
        <w:rPr>
          <w:rFonts w:ascii="Arial" w:hAnsi="Arial" w:cs="Arial"/>
          <w:bCs/>
          <w:sz w:val="20"/>
          <w:szCs w:val="20"/>
        </w:rPr>
        <w:t>CCG</w:t>
      </w:r>
      <w:r>
        <w:rPr>
          <w:rFonts w:ascii="Arial" w:hAnsi="Arial" w:cs="Arial"/>
          <w:bCs/>
          <w:sz w:val="20"/>
          <w:szCs w:val="20"/>
        </w:rPr>
        <w:t>10</w:t>
      </w:r>
      <w:r w:rsidRPr="002055E9">
        <w:rPr>
          <w:rFonts w:ascii="Arial" w:hAnsi="Arial" w:cs="Arial"/>
          <w:bCs/>
          <w:sz w:val="20"/>
          <w:szCs w:val="20"/>
        </w:rPr>
        <w:t xml:space="preserve">: </w:t>
      </w:r>
      <w:r>
        <w:rPr>
          <w:rFonts w:ascii="Arial" w:hAnsi="Arial" w:cs="Arial"/>
          <w:bCs/>
          <w:sz w:val="20"/>
          <w:szCs w:val="20"/>
        </w:rPr>
        <w:t>Angina and coronary heart disease</w:t>
      </w:r>
      <w:r w:rsidRPr="002055E9">
        <w:rPr>
          <w:rFonts w:ascii="Arial" w:hAnsi="Arial" w:cs="Arial"/>
          <w:bCs/>
          <w:sz w:val="20"/>
          <w:szCs w:val="20"/>
        </w:rPr>
        <w:t xml:space="preserve"> - </w:t>
      </w:r>
      <w:r w:rsidRPr="00716F6E">
        <w:rPr>
          <w:rFonts w:ascii="Arial" w:hAnsi="Arial" w:cs="Arial"/>
          <w:bCs/>
          <w:i/>
          <w:iCs/>
          <w:sz w:val="20"/>
          <w:szCs w:val="20"/>
        </w:rPr>
        <w:t xml:space="preserve">The proportion of people admitted for coronary heart disease referred for cardiac rehabilitation within 5 days of </w:t>
      </w:r>
      <w:r w:rsidR="00B32667" w:rsidRPr="00716F6E">
        <w:rPr>
          <w:rFonts w:ascii="Arial" w:hAnsi="Arial" w:cs="Arial"/>
          <w:bCs/>
          <w:i/>
          <w:iCs/>
          <w:sz w:val="20"/>
          <w:szCs w:val="20"/>
        </w:rPr>
        <w:t>admission.</w:t>
      </w:r>
    </w:p>
    <w:p w14:paraId="15D77EFE" w14:textId="77777777" w:rsidR="00716F6E" w:rsidRDefault="00716F6E" w:rsidP="00F80DAB">
      <w:pPr>
        <w:pStyle w:val="ListParagraph"/>
        <w:numPr>
          <w:ilvl w:val="0"/>
          <w:numId w:val="16"/>
        </w:numPr>
        <w:spacing w:line="240" w:lineRule="auto"/>
        <w:rPr>
          <w:rFonts w:ascii="Arial" w:hAnsi="Arial" w:cs="Arial"/>
          <w:bCs/>
          <w:sz w:val="20"/>
          <w:szCs w:val="20"/>
        </w:rPr>
      </w:pPr>
      <w:r w:rsidRPr="00716F6E">
        <w:rPr>
          <w:rFonts w:ascii="Arial" w:hAnsi="Arial" w:cs="Arial"/>
          <w:bCs/>
          <w:sz w:val="20"/>
          <w:szCs w:val="20"/>
        </w:rPr>
        <w:t xml:space="preserve">Published on NICE menu in 2013. In </w:t>
      </w:r>
      <w:hyperlink r:id="rId14" w:history="1">
        <w:r w:rsidRPr="00716F6E">
          <w:rPr>
            <w:rStyle w:val="Hyperlink"/>
            <w:rFonts w:ascii="Arial" w:hAnsi="Arial" w:cs="Arial"/>
            <w:bCs/>
            <w:sz w:val="20"/>
            <w:szCs w:val="20"/>
          </w:rPr>
          <w:t>CCGOIs - indicator 1.24.</w:t>
        </w:r>
      </w:hyperlink>
    </w:p>
    <w:p w14:paraId="2C091A19" w14:textId="22258E79" w:rsidR="00716F6E" w:rsidRPr="00716F6E" w:rsidRDefault="00716F6E" w:rsidP="00F80DAB">
      <w:pPr>
        <w:pStyle w:val="ListParagraph"/>
        <w:numPr>
          <w:ilvl w:val="0"/>
          <w:numId w:val="16"/>
        </w:numPr>
        <w:spacing w:line="240" w:lineRule="auto"/>
        <w:rPr>
          <w:rFonts w:ascii="Arial" w:hAnsi="Arial" w:cs="Arial"/>
          <w:bCs/>
          <w:sz w:val="20"/>
          <w:szCs w:val="20"/>
        </w:rPr>
      </w:pPr>
      <w:r w:rsidRPr="00716F6E">
        <w:rPr>
          <w:rFonts w:ascii="Arial" w:hAnsi="Arial" w:cs="Arial"/>
          <w:bCs/>
          <w:sz w:val="20"/>
          <w:szCs w:val="20"/>
        </w:rPr>
        <w:t xml:space="preserve">Not included in </w:t>
      </w:r>
      <w:hyperlink r:id="rId15" w:history="1">
        <w:r w:rsidRPr="00716F6E">
          <w:rPr>
            <w:rStyle w:val="Hyperlink"/>
            <w:rFonts w:ascii="Arial" w:hAnsi="Arial" w:cs="Arial"/>
            <w:bCs/>
            <w:sz w:val="20"/>
            <w:szCs w:val="20"/>
          </w:rPr>
          <w:t xml:space="preserve">Cardiac Rehabilitation Audit </w:t>
        </w:r>
      </w:hyperlink>
      <w:r w:rsidRPr="00716F6E">
        <w:rPr>
          <w:rFonts w:ascii="Arial" w:hAnsi="Arial" w:cs="Arial"/>
          <w:bCs/>
          <w:sz w:val="20"/>
          <w:szCs w:val="20"/>
        </w:rPr>
        <w:t>after 2014; no data collected since 2015/16 for CCGOIS.</w:t>
      </w:r>
    </w:p>
    <w:p w14:paraId="050F89A6" w14:textId="15F99E7A" w:rsidR="00716F6E" w:rsidRDefault="00716F6E" w:rsidP="00F80DAB">
      <w:pPr>
        <w:pStyle w:val="ListParagraph"/>
        <w:numPr>
          <w:ilvl w:val="0"/>
          <w:numId w:val="16"/>
        </w:numPr>
        <w:spacing w:line="240" w:lineRule="auto"/>
        <w:rPr>
          <w:rFonts w:ascii="Arial" w:hAnsi="Arial" w:cs="Arial"/>
          <w:bCs/>
          <w:sz w:val="20"/>
          <w:szCs w:val="20"/>
        </w:rPr>
      </w:pPr>
      <w:r w:rsidRPr="00FC68A7">
        <w:rPr>
          <w:rFonts w:ascii="Arial" w:hAnsi="Arial" w:cs="Arial"/>
          <w:bCs/>
          <w:sz w:val="20"/>
          <w:szCs w:val="20"/>
        </w:rPr>
        <w:t>The committee was asked to consider retiring CCG10 from the NICE menu due to lack of a supporting data source.</w:t>
      </w:r>
    </w:p>
    <w:p w14:paraId="355D3321" w14:textId="7D4CF2EA" w:rsidR="00D44012" w:rsidRPr="00D44012" w:rsidRDefault="009A418E" w:rsidP="00F80DAB">
      <w:pPr>
        <w:spacing w:line="240" w:lineRule="auto"/>
        <w:rPr>
          <w:rFonts w:ascii="Arial" w:hAnsi="Arial" w:cs="Arial"/>
          <w:bCs/>
          <w:sz w:val="20"/>
          <w:szCs w:val="20"/>
        </w:rPr>
      </w:pPr>
      <w:r>
        <w:rPr>
          <w:rFonts w:ascii="Arial" w:hAnsi="Arial" w:cs="Arial"/>
          <w:bCs/>
          <w:sz w:val="20"/>
          <w:szCs w:val="20"/>
        </w:rPr>
        <w:t xml:space="preserve">Members noted that there are issues with cardiac rehabilitation referral and completion but if the data is lacking then it does not add any value to the system. It was queried if there were other data sources that could pick up the target population such as the </w:t>
      </w:r>
      <w:r w:rsidRPr="009A418E">
        <w:rPr>
          <w:rFonts w:ascii="Arial" w:hAnsi="Arial" w:cs="Arial"/>
          <w:bCs/>
          <w:sz w:val="20"/>
          <w:szCs w:val="20"/>
        </w:rPr>
        <w:t>myocardial ischaemia national audit project</w:t>
      </w:r>
      <w:r>
        <w:rPr>
          <w:rFonts w:ascii="Arial" w:hAnsi="Arial" w:cs="Arial"/>
          <w:bCs/>
          <w:sz w:val="20"/>
          <w:szCs w:val="20"/>
        </w:rPr>
        <w:t xml:space="preserve"> (MINAP) or more localised data sources. It was noted that it would be very problematic if there is no other indicator relating to referral into and receipt of cardiac rehabilitation given its benefit regarding patient outcomes. The NICE team clarified that</w:t>
      </w:r>
      <w:r w:rsidRPr="009A418E">
        <w:rPr>
          <w:rFonts w:ascii="Arial" w:hAnsi="Arial" w:cs="Arial"/>
          <w:bCs/>
          <w:sz w:val="20"/>
          <w:szCs w:val="20"/>
        </w:rPr>
        <w:t xml:space="preserve"> </w:t>
      </w:r>
      <w:r>
        <w:rPr>
          <w:rFonts w:ascii="Arial" w:hAnsi="Arial" w:cs="Arial"/>
          <w:bCs/>
          <w:sz w:val="20"/>
          <w:szCs w:val="20"/>
        </w:rPr>
        <w:t>there is still data on uptake of cardiac rehabilitation in general</w:t>
      </w:r>
      <w:r w:rsidR="001421F4">
        <w:rPr>
          <w:rFonts w:ascii="Arial" w:hAnsi="Arial" w:cs="Arial"/>
          <w:bCs/>
          <w:sz w:val="20"/>
          <w:szCs w:val="20"/>
        </w:rPr>
        <w:t>, but</w:t>
      </w:r>
      <w:r>
        <w:rPr>
          <w:rFonts w:ascii="Arial" w:hAnsi="Arial" w:cs="Arial"/>
          <w:bCs/>
          <w:sz w:val="20"/>
          <w:szCs w:val="20"/>
        </w:rPr>
        <w:t xml:space="preserve"> </w:t>
      </w:r>
      <w:r w:rsidR="0023468F">
        <w:rPr>
          <w:rFonts w:ascii="Arial" w:hAnsi="Arial" w:cs="Arial"/>
          <w:bCs/>
          <w:sz w:val="20"/>
          <w:szCs w:val="20"/>
        </w:rPr>
        <w:t xml:space="preserve">data needed to calculate </w:t>
      </w:r>
      <w:r>
        <w:rPr>
          <w:rFonts w:ascii="Arial" w:hAnsi="Arial" w:cs="Arial"/>
          <w:bCs/>
          <w:sz w:val="20"/>
          <w:szCs w:val="20"/>
        </w:rPr>
        <w:t xml:space="preserve">‘within 5 days of admission’ </w:t>
      </w:r>
      <w:r w:rsidR="0023468F">
        <w:rPr>
          <w:rFonts w:ascii="Arial" w:hAnsi="Arial" w:cs="Arial"/>
          <w:bCs/>
          <w:sz w:val="20"/>
          <w:szCs w:val="20"/>
        </w:rPr>
        <w:t xml:space="preserve">is no longer </w:t>
      </w:r>
      <w:r>
        <w:rPr>
          <w:rFonts w:ascii="Arial" w:hAnsi="Arial" w:cs="Arial"/>
          <w:bCs/>
          <w:sz w:val="20"/>
          <w:szCs w:val="20"/>
        </w:rPr>
        <w:t>being collected</w:t>
      </w:r>
      <w:r w:rsidR="001421F4">
        <w:rPr>
          <w:rFonts w:ascii="Arial" w:hAnsi="Arial" w:cs="Arial"/>
          <w:bCs/>
          <w:sz w:val="20"/>
          <w:szCs w:val="20"/>
        </w:rPr>
        <w:t>.</w:t>
      </w:r>
      <w:r w:rsidR="0023468F">
        <w:rPr>
          <w:rFonts w:ascii="Arial" w:hAnsi="Arial" w:cs="Arial"/>
          <w:bCs/>
          <w:sz w:val="20"/>
          <w:szCs w:val="20"/>
        </w:rPr>
        <w:t xml:space="preserve"> </w:t>
      </w:r>
      <w:r w:rsidR="001421F4">
        <w:rPr>
          <w:rFonts w:ascii="Arial" w:hAnsi="Arial" w:cs="Arial"/>
          <w:bCs/>
          <w:sz w:val="20"/>
          <w:szCs w:val="20"/>
        </w:rPr>
        <w:t xml:space="preserve">It was agreed that this indicator should be retired.  </w:t>
      </w:r>
    </w:p>
    <w:p w14:paraId="00071E21" w14:textId="77777777" w:rsidR="00C134B4" w:rsidRDefault="00FC68A7" w:rsidP="00F80DAB">
      <w:pPr>
        <w:spacing w:line="240" w:lineRule="auto"/>
        <w:rPr>
          <w:rFonts w:ascii="Arial" w:hAnsi="Arial" w:cs="Arial"/>
          <w:b/>
          <w:sz w:val="20"/>
          <w:szCs w:val="20"/>
        </w:rPr>
      </w:pPr>
      <w:r w:rsidRPr="00FC68A7">
        <w:rPr>
          <w:rFonts w:ascii="Arial" w:hAnsi="Arial" w:cs="Arial"/>
          <w:b/>
          <w:sz w:val="20"/>
          <w:szCs w:val="20"/>
        </w:rPr>
        <w:t>ACTION: The committee agreed to retire this indicator</w:t>
      </w:r>
      <w:r w:rsidR="001421F4">
        <w:rPr>
          <w:rFonts w:ascii="Arial" w:hAnsi="Arial" w:cs="Arial"/>
          <w:b/>
          <w:sz w:val="20"/>
          <w:szCs w:val="20"/>
        </w:rPr>
        <w:t xml:space="preserve"> from the NICE menu.</w:t>
      </w:r>
    </w:p>
    <w:p w14:paraId="2BCEC428" w14:textId="4D8BC5FA" w:rsidR="00716F6E" w:rsidRPr="002055E9" w:rsidRDefault="00716F6E" w:rsidP="00F80DAB">
      <w:pPr>
        <w:spacing w:line="240" w:lineRule="auto"/>
        <w:rPr>
          <w:rFonts w:ascii="Arial" w:hAnsi="Arial" w:cs="Arial"/>
          <w:bCs/>
          <w:i/>
          <w:iCs/>
          <w:sz w:val="20"/>
          <w:szCs w:val="20"/>
        </w:rPr>
      </w:pPr>
      <w:r w:rsidRPr="002055E9">
        <w:rPr>
          <w:rFonts w:ascii="Arial" w:hAnsi="Arial" w:cs="Arial"/>
          <w:bCs/>
          <w:sz w:val="20"/>
          <w:szCs w:val="20"/>
        </w:rPr>
        <w:t>CCG</w:t>
      </w:r>
      <w:r>
        <w:rPr>
          <w:rFonts w:ascii="Arial" w:hAnsi="Arial" w:cs="Arial"/>
          <w:bCs/>
          <w:sz w:val="20"/>
          <w:szCs w:val="20"/>
        </w:rPr>
        <w:t>46</w:t>
      </w:r>
      <w:r w:rsidRPr="002055E9">
        <w:rPr>
          <w:rFonts w:ascii="Arial" w:hAnsi="Arial" w:cs="Arial"/>
          <w:bCs/>
          <w:sz w:val="20"/>
          <w:szCs w:val="20"/>
        </w:rPr>
        <w:t xml:space="preserve">: </w:t>
      </w:r>
      <w:r>
        <w:rPr>
          <w:rFonts w:ascii="Arial" w:hAnsi="Arial" w:cs="Arial"/>
          <w:bCs/>
          <w:sz w:val="20"/>
          <w:szCs w:val="20"/>
        </w:rPr>
        <w:t>Stroke and ischaemic attack</w:t>
      </w:r>
      <w:r w:rsidRPr="002055E9">
        <w:rPr>
          <w:rFonts w:ascii="Arial" w:hAnsi="Arial" w:cs="Arial"/>
          <w:bCs/>
          <w:sz w:val="20"/>
          <w:szCs w:val="20"/>
        </w:rPr>
        <w:t xml:space="preserve"> - </w:t>
      </w:r>
      <w:r w:rsidRPr="00716F6E">
        <w:rPr>
          <w:rFonts w:ascii="Arial" w:hAnsi="Arial" w:cs="Arial"/>
          <w:bCs/>
          <w:i/>
          <w:iCs/>
          <w:sz w:val="20"/>
          <w:szCs w:val="20"/>
        </w:rPr>
        <w:t xml:space="preserve">The proportion of people who receive psychological support for mood, </w:t>
      </w:r>
      <w:proofErr w:type="gramStart"/>
      <w:r w:rsidRPr="00716F6E">
        <w:rPr>
          <w:rFonts w:ascii="Arial" w:hAnsi="Arial" w:cs="Arial"/>
          <w:bCs/>
          <w:i/>
          <w:iCs/>
          <w:sz w:val="20"/>
          <w:szCs w:val="20"/>
        </w:rPr>
        <w:t>behaviour</w:t>
      </w:r>
      <w:proofErr w:type="gramEnd"/>
      <w:r w:rsidRPr="00716F6E">
        <w:rPr>
          <w:rFonts w:ascii="Arial" w:hAnsi="Arial" w:cs="Arial"/>
          <w:bCs/>
          <w:i/>
          <w:iCs/>
          <w:sz w:val="20"/>
          <w:szCs w:val="20"/>
        </w:rPr>
        <w:t xml:space="preserve"> or cognitive disturbance 6 months after an admission to hospital with a stroke.</w:t>
      </w:r>
    </w:p>
    <w:p w14:paraId="23C651F0" w14:textId="77777777" w:rsidR="00716F6E" w:rsidRPr="00716F6E" w:rsidRDefault="00716F6E" w:rsidP="00F80DAB">
      <w:pPr>
        <w:pStyle w:val="ListParagraph"/>
        <w:numPr>
          <w:ilvl w:val="0"/>
          <w:numId w:val="17"/>
        </w:numPr>
        <w:spacing w:line="240" w:lineRule="auto"/>
        <w:rPr>
          <w:rFonts w:ascii="Arial" w:hAnsi="Arial" w:cs="Arial"/>
          <w:bCs/>
          <w:sz w:val="20"/>
          <w:szCs w:val="20"/>
        </w:rPr>
      </w:pPr>
      <w:r w:rsidRPr="00716F6E">
        <w:rPr>
          <w:rFonts w:ascii="Arial" w:hAnsi="Arial" w:cs="Arial"/>
          <w:bCs/>
          <w:sz w:val="20"/>
          <w:szCs w:val="20"/>
        </w:rPr>
        <w:t>Published on NICE menu in 2012. Not included in national performance frameworks.</w:t>
      </w:r>
    </w:p>
    <w:p w14:paraId="0A421A5D" w14:textId="77777777" w:rsidR="00716F6E" w:rsidRDefault="00766FCB" w:rsidP="00F80DAB">
      <w:pPr>
        <w:pStyle w:val="ListParagraph"/>
        <w:numPr>
          <w:ilvl w:val="0"/>
          <w:numId w:val="17"/>
        </w:numPr>
        <w:spacing w:line="240" w:lineRule="auto"/>
        <w:rPr>
          <w:rFonts w:ascii="Arial" w:hAnsi="Arial" w:cs="Arial"/>
          <w:bCs/>
          <w:sz w:val="20"/>
          <w:szCs w:val="20"/>
        </w:rPr>
      </w:pPr>
      <w:hyperlink r:id="rId16" w:history="1">
        <w:r w:rsidR="00716F6E" w:rsidRPr="00716F6E">
          <w:rPr>
            <w:rStyle w:val="Hyperlink"/>
            <w:rFonts w:ascii="Arial" w:hAnsi="Arial" w:cs="Arial"/>
            <w:bCs/>
            <w:sz w:val="20"/>
            <w:szCs w:val="20"/>
          </w:rPr>
          <w:t>Sentinel Stroke National Audit</w:t>
        </w:r>
      </w:hyperlink>
      <w:r w:rsidR="00716F6E" w:rsidRPr="00716F6E">
        <w:rPr>
          <w:rFonts w:ascii="Arial" w:hAnsi="Arial" w:cs="Arial"/>
          <w:bCs/>
          <w:sz w:val="20"/>
          <w:szCs w:val="20"/>
        </w:rPr>
        <w:t xml:space="preserve"> does not report separately on receipt of psychological support at 6 months.</w:t>
      </w:r>
    </w:p>
    <w:p w14:paraId="66D0F6A3" w14:textId="595CBCC1" w:rsidR="00FC68A7" w:rsidRPr="00FC68A7" w:rsidRDefault="00FC68A7" w:rsidP="00F80DAB">
      <w:pPr>
        <w:pStyle w:val="ListParagraph"/>
        <w:numPr>
          <w:ilvl w:val="0"/>
          <w:numId w:val="17"/>
        </w:numPr>
        <w:spacing w:line="240" w:lineRule="auto"/>
        <w:rPr>
          <w:rFonts w:ascii="Arial" w:hAnsi="Arial" w:cs="Arial"/>
          <w:bCs/>
          <w:sz w:val="20"/>
          <w:szCs w:val="20"/>
        </w:rPr>
      </w:pPr>
      <w:r w:rsidRPr="00FC68A7">
        <w:rPr>
          <w:rFonts w:ascii="Arial" w:hAnsi="Arial" w:cs="Arial"/>
          <w:bCs/>
          <w:sz w:val="20"/>
          <w:szCs w:val="20"/>
        </w:rPr>
        <w:t>The committee is asked to consider retiring CCG46 from the NICE menu due to lack of a supporting data source.</w:t>
      </w:r>
    </w:p>
    <w:p w14:paraId="5709509D" w14:textId="241809D6" w:rsidR="00716F6E" w:rsidRPr="00716F6E" w:rsidRDefault="00FC68A7" w:rsidP="00F80DAB">
      <w:pPr>
        <w:spacing w:line="240" w:lineRule="auto"/>
        <w:rPr>
          <w:rFonts w:ascii="Arial" w:hAnsi="Arial" w:cs="Arial"/>
          <w:bCs/>
          <w:sz w:val="20"/>
          <w:szCs w:val="20"/>
        </w:rPr>
      </w:pPr>
      <w:r>
        <w:rPr>
          <w:rFonts w:ascii="Arial" w:hAnsi="Arial" w:cs="Arial"/>
          <w:b/>
          <w:sz w:val="20"/>
          <w:szCs w:val="20"/>
        </w:rPr>
        <w:t xml:space="preserve">ACTION: </w:t>
      </w:r>
      <w:r w:rsidR="00716F6E" w:rsidRPr="00716F6E">
        <w:rPr>
          <w:rFonts w:ascii="Arial" w:hAnsi="Arial" w:cs="Arial"/>
          <w:b/>
          <w:sz w:val="20"/>
          <w:szCs w:val="20"/>
        </w:rPr>
        <w:t xml:space="preserve">The committee </w:t>
      </w:r>
      <w:r w:rsidRPr="00FC68A7">
        <w:rPr>
          <w:rFonts w:ascii="Arial" w:hAnsi="Arial" w:cs="Arial"/>
          <w:b/>
          <w:sz w:val="20"/>
          <w:szCs w:val="20"/>
        </w:rPr>
        <w:t>agreed to retire this indicator from the NICE menu</w:t>
      </w:r>
      <w:r w:rsidR="00716F6E" w:rsidRPr="00716F6E">
        <w:rPr>
          <w:rFonts w:ascii="Arial" w:hAnsi="Arial" w:cs="Arial"/>
          <w:bCs/>
          <w:sz w:val="20"/>
          <w:szCs w:val="20"/>
        </w:rPr>
        <w:t>.</w:t>
      </w:r>
    </w:p>
    <w:p w14:paraId="1A96934D" w14:textId="4609122D" w:rsidR="00C34A8A" w:rsidRDefault="00C34A8A" w:rsidP="00F80DAB">
      <w:pPr>
        <w:spacing w:line="240" w:lineRule="auto"/>
        <w:rPr>
          <w:rFonts w:ascii="Arial" w:hAnsi="Arial" w:cs="Arial"/>
          <w:b/>
          <w:sz w:val="20"/>
          <w:szCs w:val="20"/>
        </w:rPr>
      </w:pPr>
      <w:r w:rsidRPr="00DE48C5">
        <w:rPr>
          <w:rFonts w:ascii="Arial" w:hAnsi="Arial" w:cs="Arial"/>
          <w:b/>
          <w:sz w:val="20"/>
          <w:szCs w:val="20"/>
        </w:rPr>
        <w:t xml:space="preserve">Item </w:t>
      </w:r>
      <w:r>
        <w:rPr>
          <w:rFonts w:ascii="Arial" w:hAnsi="Arial" w:cs="Arial"/>
          <w:b/>
          <w:sz w:val="20"/>
          <w:szCs w:val="20"/>
        </w:rPr>
        <w:t>4</w:t>
      </w:r>
      <w:r w:rsidRPr="00DE48C5">
        <w:rPr>
          <w:rFonts w:ascii="Arial" w:hAnsi="Arial" w:cs="Arial"/>
          <w:b/>
          <w:sz w:val="20"/>
          <w:szCs w:val="20"/>
        </w:rPr>
        <w:t xml:space="preserve"> – </w:t>
      </w:r>
      <w:r w:rsidR="00DF7DF4">
        <w:rPr>
          <w:rFonts w:ascii="Arial" w:hAnsi="Arial" w:cs="Arial"/>
          <w:b/>
          <w:sz w:val="20"/>
          <w:szCs w:val="20"/>
        </w:rPr>
        <w:t>C</w:t>
      </w:r>
      <w:r w:rsidR="0036774D">
        <w:rPr>
          <w:rFonts w:ascii="Arial" w:hAnsi="Arial" w:cs="Arial"/>
          <w:b/>
          <w:sz w:val="20"/>
          <w:szCs w:val="20"/>
        </w:rPr>
        <w:t>ardiovascular disease</w:t>
      </w:r>
      <w:r w:rsidR="00731563">
        <w:rPr>
          <w:rFonts w:ascii="Arial" w:hAnsi="Arial" w:cs="Arial"/>
          <w:b/>
          <w:sz w:val="20"/>
          <w:szCs w:val="20"/>
        </w:rPr>
        <w:t xml:space="preserve"> (CVD)</w:t>
      </w:r>
      <w:r>
        <w:rPr>
          <w:rFonts w:ascii="Arial" w:hAnsi="Arial" w:cs="Arial"/>
          <w:b/>
          <w:sz w:val="20"/>
          <w:szCs w:val="20"/>
        </w:rPr>
        <w:t xml:space="preserve"> risk assessment</w:t>
      </w:r>
    </w:p>
    <w:p w14:paraId="65ECF865" w14:textId="03B7AF77" w:rsidR="006A73DA" w:rsidRDefault="00C34A8A" w:rsidP="00F80DAB">
      <w:pPr>
        <w:spacing w:line="240" w:lineRule="auto"/>
        <w:rPr>
          <w:rFonts w:ascii="Arial" w:hAnsi="Arial" w:cs="Arial"/>
          <w:b/>
          <w:sz w:val="20"/>
          <w:szCs w:val="20"/>
        </w:rPr>
      </w:pPr>
      <w:r>
        <w:rPr>
          <w:rFonts w:ascii="Arial" w:hAnsi="Arial" w:cs="Arial"/>
          <w:bCs/>
          <w:sz w:val="20"/>
          <w:szCs w:val="20"/>
        </w:rPr>
        <w:t xml:space="preserve">CDG </w:t>
      </w:r>
      <w:r w:rsidR="006A73DA">
        <w:rPr>
          <w:rFonts w:ascii="Arial" w:hAnsi="Arial" w:cs="Arial"/>
          <w:bCs/>
          <w:sz w:val="20"/>
          <w:szCs w:val="20"/>
        </w:rPr>
        <w:t xml:space="preserve">presented to the committee proposals for new indicators on CVD risk assessment. It was noted that </w:t>
      </w:r>
      <w:r w:rsidR="006A73DA" w:rsidRPr="006A73DA">
        <w:rPr>
          <w:rFonts w:ascii="Arial" w:hAnsi="Arial" w:cs="Arial"/>
          <w:bCs/>
          <w:sz w:val="20"/>
          <w:szCs w:val="20"/>
        </w:rPr>
        <w:t>CVD risk assessment tools</w:t>
      </w:r>
      <w:r w:rsidR="006A73DA">
        <w:rPr>
          <w:rFonts w:ascii="Arial" w:hAnsi="Arial" w:cs="Arial"/>
          <w:bCs/>
          <w:sz w:val="20"/>
          <w:szCs w:val="20"/>
        </w:rPr>
        <w:t xml:space="preserve">, </w:t>
      </w:r>
      <w:r w:rsidR="006A73DA" w:rsidRPr="006A73DA">
        <w:rPr>
          <w:rFonts w:ascii="Arial" w:hAnsi="Arial" w:cs="Arial"/>
          <w:bCs/>
          <w:sz w:val="20"/>
          <w:szCs w:val="20"/>
        </w:rPr>
        <w:t>such as QRISK3</w:t>
      </w:r>
      <w:r w:rsidR="006A73DA">
        <w:rPr>
          <w:rFonts w:ascii="Arial" w:hAnsi="Arial" w:cs="Arial"/>
          <w:bCs/>
          <w:sz w:val="20"/>
          <w:szCs w:val="20"/>
        </w:rPr>
        <w:t>,</w:t>
      </w:r>
      <w:r w:rsidR="006A73DA" w:rsidRPr="006A73DA">
        <w:rPr>
          <w:rFonts w:ascii="Arial" w:hAnsi="Arial" w:cs="Arial"/>
          <w:bCs/>
          <w:sz w:val="20"/>
          <w:szCs w:val="20"/>
        </w:rPr>
        <w:t xml:space="preserve"> estimate the risk of future cardiovascular events (heart attack or stroke) to help inform treatment strategies. It was highlighted that the NICE menu has existing indicators on CVD risk assessment in people </w:t>
      </w:r>
      <w:r w:rsidR="00B91A64">
        <w:rPr>
          <w:rFonts w:ascii="Arial" w:hAnsi="Arial" w:cs="Arial"/>
          <w:bCs/>
          <w:sz w:val="20"/>
          <w:szCs w:val="20"/>
        </w:rPr>
        <w:t xml:space="preserve">with </w:t>
      </w:r>
      <w:r w:rsidR="006A73DA" w:rsidRPr="006A73DA">
        <w:rPr>
          <w:rFonts w:ascii="Arial" w:hAnsi="Arial" w:cs="Arial"/>
          <w:bCs/>
          <w:sz w:val="20"/>
          <w:szCs w:val="20"/>
        </w:rPr>
        <w:t xml:space="preserve">rheumatoid arthritis, serious mental illness, hypertension, and diabetes. </w:t>
      </w:r>
      <w:r w:rsidR="006A73DA">
        <w:rPr>
          <w:rFonts w:ascii="Arial" w:hAnsi="Arial" w:cs="Arial"/>
          <w:bCs/>
          <w:sz w:val="20"/>
          <w:szCs w:val="20"/>
        </w:rPr>
        <w:t>It was noted that t</w:t>
      </w:r>
      <w:r w:rsidR="006A73DA" w:rsidRPr="006A73DA">
        <w:rPr>
          <w:rFonts w:ascii="Arial" w:hAnsi="Arial" w:cs="Arial"/>
          <w:bCs/>
          <w:sz w:val="20"/>
          <w:szCs w:val="20"/>
        </w:rPr>
        <w:t>here are also indicators that use the results of CVD risk assessment to derive the population for provision of lifestyle advice and lipid lowering therapies</w:t>
      </w:r>
      <w:r w:rsidR="006A73DA">
        <w:rPr>
          <w:rFonts w:ascii="Arial" w:hAnsi="Arial" w:cs="Arial"/>
          <w:bCs/>
          <w:sz w:val="20"/>
          <w:szCs w:val="20"/>
        </w:rPr>
        <w:t>, but that there is currently</w:t>
      </w:r>
      <w:r w:rsidR="006A73DA" w:rsidRPr="006A73DA">
        <w:rPr>
          <w:rFonts w:ascii="Arial" w:hAnsi="Arial" w:cs="Arial"/>
          <w:b/>
          <w:sz w:val="20"/>
          <w:szCs w:val="20"/>
        </w:rPr>
        <w:t xml:space="preserve"> </w:t>
      </w:r>
      <w:r w:rsidR="006A73DA" w:rsidRPr="006A73DA">
        <w:rPr>
          <w:rFonts w:ascii="Arial" w:hAnsi="Arial" w:cs="Arial"/>
          <w:bCs/>
          <w:sz w:val="20"/>
          <w:szCs w:val="20"/>
        </w:rPr>
        <w:t>no indicator on the provision of CVD risk assessment in general.</w:t>
      </w:r>
    </w:p>
    <w:p w14:paraId="510BC389" w14:textId="2FE6608C" w:rsidR="006A73DA" w:rsidRDefault="006A73DA" w:rsidP="00F80DAB">
      <w:pPr>
        <w:spacing w:line="240" w:lineRule="auto"/>
        <w:rPr>
          <w:rFonts w:ascii="Arial" w:hAnsi="Arial" w:cs="Arial"/>
          <w:bCs/>
          <w:sz w:val="20"/>
          <w:szCs w:val="20"/>
        </w:rPr>
      </w:pPr>
      <w:r w:rsidRPr="006A73DA">
        <w:rPr>
          <w:rFonts w:ascii="Arial" w:hAnsi="Arial" w:cs="Arial"/>
          <w:bCs/>
          <w:sz w:val="20"/>
          <w:szCs w:val="20"/>
        </w:rPr>
        <w:t>The committe</w:t>
      </w:r>
      <w:r>
        <w:rPr>
          <w:rFonts w:ascii="Arial" w:hAnsi="Arial" w:cs="Arial"/>
          <w:bCs/>
          <w:sz w:val="20"/>
          <w:szCs w:val="20"/>
        </w:rPr>
        <w:t>e was presented with two options for an indicator:</w:t>
      </w:r>
    </w:p>
    <w:p w14:paraId="3297A1BE" w14:textId="77777777" w:rsidR="006A73DA" w:rsidRPr="006A73DA" w:rsidRDefault="006A73DA" w:rsidP="00F80DAB">
      <w:pPr>
        <w:spacing w:line="240" w:lineRule="auto"/>
        <w:rPr>
          <w:rFonts w:ascii="Arial" w:hAnsi="Arial" w:cs="Arial"/>
          <w:bCs/>
          <w:sz w:val="20"/>
          <w:szCs w:val="20"/>
        </w:rPr>
      </w:pPr>
      <w:r>
        <w:rPr>
          <w:rFonts w:ascii="Arial" w:hAnsi="Arial" w:cs="Arial"/>
          <w:bCs/>
          <w:sz w:val="20"/>
          <w:szCs w:val="20"/>
        </w:rPr>
        <w:t xml:space="preserve">Option 1: </w:t>
      </w:r>
      <w:r w:rsidRPr="006A73DA">
        <w:rPr>
          <w:rFonts w:ascii="Arial" w:hAnsi="Arial" w:cs="Arial"/>
          <w:bCs/>
          <w:i/>
          <w:iCs/>
          <w:sz w:val="20"/>
          <w:szCs w:val="20"/>
        </w:rPr>
        <w:t>The percentage of people aged 40 to 84 years with a modifiable risk factor included in QRISK3, who have a recorded CVD risk assessment in the preceding 5 years.</w:t>
      </w:r>
    </w:p>
    <w:p w14:paraId="53E3C585" w14:textId="77777777" w:rsidR="006A73DA" w:rsidRDefault="006A73DA" w:rsidP="00F80DAB">
      <w:pPr>
        <w:spacing w:line="240" w:lineRule="auto"/>
        <w:rPr>
          <w:rFonts w:ascii="Arial" w:hAnsi="Arial" w:cs="Arial"/>
          <w:i/>
          <w:iCs/>
          <w:sz w:val="20"/>
          <w:szCs w:val="20"/>
        </w:rPr>
      </w:pPr>
      <w:r>
        <w:rPr>
          <w:rFonts w:ascii="Arial" w:hAnsi="Arial" w:cs="Arial"/>
          <w:bCs/>
          <w:sz w:val="20"/>
          <w:szCs w:val="20"/>
        </w:rPr>
        <w:t xml:space="preserve">Option 2: </w:t>
      </w:r>
      <w:r w:rsidRPr="006A73DA">
        <w:rPr>
          <w:rFonts w:ascii="Arial" w:hAnsi="Arial" w:cs="Arial"/>
          <w:bCs/>
          <w:i/>
          <w:iCs/>
          <w:sz w:val="20"/>
          <w:szCs w:val="20"/>
        </w:rPr>
        <w:t xml:space="preserve">The percentage of people aged 40 to 84 years with a modifiable risk factor </w:t>
      </w:r>
      <w:r w:rsidRPr="006A73DA">
        <w:rPr>
          <w:rFonts w:ascii="Arial" w:hAnsi="Arial" w:cs="Arial"/>
          <w:i/>
          <w:iCs/>
          <w:sz w:val="20"/>
          <w:szCs w:val="20"/>
        </w:rPr>
        <w:t>or comorbidity included in QRISK3, who have a recorded CVD risk assessment in the preceding 5 years.</w:t>
      </w:r>
    </w:p>
    <w:p w14:paraId="677DD92B" w14:textId="5EEE9E47" w:rsidR="006A73DA" w:rsidRDefault="006A73DA" w:rsidP="00F80DAB">
      <w:pPr>
        <w:spacing w:line="240" w:lineRule="auto"/>
        <w:rPr>
          <w:rFonts w:ascii="Arial" w:hAnsi="Arial" w:cs="Arial"/>
          <w:sz w:val="20"/>
          <w:szCs w:val="20"/>
        </w:rPr>
      </w:pPr>
      <w:r w:rsidRPr="006A73DA">
        <w:rPr>
          <w:rFonts w:ascii="Arial" w:hAnsi="Arial" w:cs="Arial"/>
          <w:sz w:val="20"/>
          <w:szCs w:val="20"/>
        </w:rPr>
        <w:t xml:space="preserve">The committee </w:t>
      </w:r>
      <w:r>
        <w:rPr>
          <w:rFonts w:ascii="Arial" w:hAnsi="Arial" w:cs="Arial"/>
          <w:sz w:val="20"/>
          <w:szCs w:val="20"/>
        </w:rPr>
        <w:t>was</w:t>
      </w:r>
      <w:r w:rsidRPr="006A73DA">
        <w:rPr>
          <w:rFonts w:ascii="Arial" w:hAnsi="Arial" w:cs="Arial"/>
          <w:sz w:val="20"/>
          <w:szCs w:val="20"/>
        </w:rPr>
        <w:t xml:space="preserve"> asked to provide guidance on the different denominator inclusion and exclusion criteria and whether indicators should progress to consultation and testing. Alternatively, the committee could advise that no indicators are progressed for further development</w:t>
      </w:r>
      <w:r>
        <w:rPr>
          <w:rFonts w:ascii="Arial" w:hAnsi="Arial" w:cs="Arial"/>
          <w:sz w:val="20"/>
          <w:szCs w:val="20"/>
        </w:rPr>
        <w:t xml:space="preserve">. </w:t>
      </w:r>
    </w:p>
    <w:p w14:paraId="7D1721B2" w14:textId="479CD0C3" w:rsidR="007358CA" w:rsidRDefault="007358CA" w:rsidP="00F80DAB">
      <w:pPr>
        <w:spacing w:line="240" w:lineRule="auto"/>
        <w:rPr>
          <w:rFonts w:ascii="Arial" w:hAnsi="Arial" w:cs="Arial"/>
          <w:sz w:val="20"/>
          <w:szCs w:val="20"/>
        </w:rPr>
      </w:pPr>
      <w:r>
        <w:rPr>
          <w:rFonts w:ascii="Arial" w:hAnsi="Arial" w:cs="Arial"/>
          <w:sz w:val="20"/>
          <w:szCs w:val="20"/>
        </w:rPr>
        <w:t xml:space="preserve">Members noted </w:t>
      </w:r>
      <w:r w:rsidR="001A23D7">
        <w:rPr>
          <w:rFonts w:ascii="Arial" w:hAnsi="Arial" w:cs="Arial"/>
          <w:sz w:val="20"/>
          <w:szCs w:val="20"/>
        </w:rPr>
        <w:t xml:space="preserve">that this an important area as </w:t>
      </w:r>
      <w:r w:rsidR="002361C8">
        <w:rPr>
          <w:rFonts w:ascii="Arial" w:hAnsi="Arial" w:cs="Arial"/>
          <w:sz w:val="20"/>
          <w:szCs w:val="20"/>
        </w:rPr>
        <w:t xml:space="preserve">uptake of </w:t>
      </w:r>
      <w:r w:rsidR="001A23D7">
        <w:rPr>
          <w:rFonts w:ascii="Arial" w:hAnsi="Arial" w:cs="Arial"/>
          <w:sz w:val="20"/>
          <w:szCs w:val="20"/>
        </w:rPr>
        <w:t>health checks</w:t>
      </w:r>
      <w:r w:rsidR="002361C8">
        <w:rPr>
          <w:rFonts w:ascii="Arial" w:hAnsi="Arial" w:cs="Arial"/>
          <w:sz w:val="20"/>
          <w:szCs w:val="20"/>
        </w:rPr>
        <w:t xml:space="preserve"> is low, and not all patients are eligible. </w:t>
      </w:r>
      <w:r w:rsidR="001A23D7">
        <w:rPr>
          <w:rFonts w:ascii="Arial" w:hAnsi="Arial" w:cs="Arial"/>
          <w:sz w:val="20"/>
          <w:szCs w:val="20"/>
        </w:rPr>
        <w:t xml:space="preserve"> It was noted that using QRISK</w:t>
      </w:r>
      <w:r w:rsidR="00FE3120">
        <w:rPr>
          <w:rFonts w:ascii="Arial" w:hAnsi="Arial" w:cs="Arial"/>
          <w:sz w:val="20"/>
          <w:szCs w:val="20"/>
        </w:rPr>
        <w:t>2</w:t>
      </w:r>
      <w:r w:rsidR="001A23D7">
        <w:rPr>
          <w:rFonts w:ascii="Arial" w:hAnsi="Arial" w:cs="Arial"/>
          <w:sz w:val="20"/>
          <w:szCs w:val="20"/>
        </w:rPr>
        <w:t xml:space="preserve"> may lead to </w:t>
      </w:r>
      <w:r w:rsidR="005D0940">
        <w:rPr>
          <w:rFonts w:ascii="Arial" w:hAnsi="Arial" w:cs="Arial"/>
          <w:sz w:val="20"/>
          <w:szCs w:val="20"/>
        </w:rPr>
        <w:t>data</w:t>
      </w:r>
      <w:r w:rsidR="001A23D7">
        <w:rPr>
          <w:rFonts w:ascii="Arial" w:hAnsi="Arial" w:cs="Arial"/>
          <w:sz w:val="20"/>
          <w:szCs w:val="20"/>
        </w:rPr>
        <w:t xml:space="preserve"> inaccuracies as certain fields can be left blank when it is completed</w:t>
      </w:r>
      <w:r w:rsidR="00FE3120">
        <w:rPr>
          <w:rFonts w:ascii="Arial" w:hAnsi="Arial" w:cs="Arial"/>
          <w:sz w:val="20"/>
          <w:szCs w:val="20"/>
        </w:rPr>
        <w:t xml:space="preserve">, and that QRISK3 is not currently integrated into any primary care </w:t>
      </w:r>
      <w:r w:rsidR="00FE3120">
        <w:rPr>
          <w:rFonts w:ascii="Arial" w:hAnsi="Arial" w:cs="Arial"/>
          <w:sz w:val="20"/>
          <w:szCs w:val="20"/>
        </w:rPr>
        <w:lastRenderedPageBreak/>
        <w:t>systems</w:t>
      </w:r>
      <w:r w:rsidR="001A23D7">
        <w:rPr>
          <w:rFonts w:ascii="Arial" w:hAnsi="Arial" w:cs="Arial"/>
          <w:sz w:val="20"/>
          <w:szCs w:val="20"/>
        </w:rPr>
        <w:t>.</w:t>
      </w:r>
      <w:r w:rsidR="00731563">
        <w:rPr>
          <w:rFonts w:ascii="Arial" w:hAnsi="Arial" w:cs="Arial"/>
          <w:sz w:val="20"/>
          <w:szCs w:val="20"/>
        </w:rPr>
        <w:t xml:space="preserve"> </w:t>
      </w:r>
      <w:r w:rsidR="00EF1A20">
        <w:rPr>
          <w:rFonts w:ascii="Arial" w:hAnsi="Arial" w:cs="Arial"/>
          <w:sz w:val="20"/>
          <w:szCs w:val="20"/>
        </w:rPr>
        <w:t xml:space="preserve">It was noted that </w:t>
      </w:r>
      <w:r w:rsidR="009C0B7A">
        <w:rPr>
          <w:rFonts w:ascii="Arial" w:hAnsi="Arial" w:cs="Arial"/>
          <w:sz w:val="20"/>
          <w:szCs w:val="20"/>
        </w:rPr>
        <w:t xml:space="preserve">there </w:t>
      </w:r>
      <w:r w:rsidR="00EF1A20">
        <w:rPr>
          <w:rFonts w:ascii="Arial" w:hAnsi="Arial" w:cs="Arial"/>
          <w:sz w:val="20"/>
          <w:szCs w:val="20"/>
        </w:rPr>
        <w:t>may be a potential resource impact particularly on the use of lab testing for lipid</w:t>
      </w:r>
      <w:r w:rsidR="002361C8">
        <w:rPr>
          <w:rFonts w:ascii="Arial" w:hAnsi="Arial" w:cs="Arial"/>
          <w:sz w:val="20"/>
          <w:szCs w:val="20"/>
        </w:rPr>
        <w:t xml:space="preserve"> measurement</w:t>
      </w:r>
      <w:r w:rsidR="00EF1A20">
        <w:rPr>
          <w:rFonts w:ascii="Arial" w:hAnsi="Arial" w:cs="Arial"/>
          <w:sz w:val="20"/>
          <w:szCs w:val="20"/>
        </w:rPr>
        <w:t xml:space="preserve">. </w:t>
      </w:r>
      <w:r w:rsidR="00731563">
        <w:rPr>
          <w:rFonts w:ascii="Arial" w:hAnsi="Arial" w:cs="Arial"/>
          <w:sz w:val="20"/>
          <w:szCs w:val="20"/>
        </w:rPr>
        <w:t xml:space="preserve">It was </w:t>
      </w:r>
      <w:r w:rsidR="0070524D">
        <w:rPr>
          <w:rFonts w:ascii="Arial" w:hAnsi="Arial" w:cs="Arial"/>
          <w:sz w:val="20"/>
          <w:szCs w:val="20"/>
        </w:rPr>
        <w:t>agreed</w:t>
      </w:r>
      <w:r w:rsidR="00731563">
        <w:rPr>
          <w:rFonts w:ascii="Arial" w:hAnsi="Arial" w:cs="Arial"/>
          <w:sz w:val="20"/>
          <w:szCs w:val="20"/>
        </w:rPr>
        <w:t xml:space="preserve"> that while the area is important, the indicator needs further discussion via a working group</w:t>
      </w:r>
      <w:r w:rsidR="009C0B7A">
        <w:rPr>
          <w:rFonts w:ascii="Arial" w:hAnsi="Arial" w:cs="Arial"/>
          <w:sz w:val="20"/>
          <w:szCs w:val="20"/>
        </w:rPr>
        <w:t xml:space="preserve"> with committee members</w:t>
      </w:r>
      <w:r w:rsidR="00027E19">
        <w:rPr>
          <w:rFonts w:ascii="Arial" w:hAnsi="Arial" w:cs="Arial"/>
          <w:sz w:val="20"/>
          <w:szCs w:val="20"/>
        </w:rPr>
        <w:t>.</w:t>
      </w:r>
      <w:r w:rsidR="0070524D">
        <w:rPr>
          <w:rFonts w:ascii="Arial" w:hAnsi="Arial" w:cs="Arial"/>
          <w:sz w:val="20"/>
          <w:szCs w:val="20"/>
        </w:rPr>
        <w:t xml:space="preserve"> </w:t>
      </w:r>
    </w:p>
    <w:p w14:paraId="3CB88DC1" w14:textId="3888953A" w:rsidR="002339B3" w:rsidRDefault="002339B3" w:rsidP="00F80DAB">
      <w:pPr>
        <w:spacing w:line="240" w:lineRule="auto"/>
        <w:rPr>
          <w:rFonts w:ascii="Arial" w:hAnsi="Arial" w:cs="Arial"/>
          <w:sz w:val="20"/>
          <w:szCs w:val="20"/>
        </w:rPr>
      </w:pPr>
      <w:r w:rsidRPr="002339B3">
        <w:rPr>
          <w:rFonts w:ascii="Arial" w:hAnsi="Arial" w:cs="Arial"/>
          <w:b/>
          <w:bCs/>
          <w:sz w:val="20"/>
          <w:szCs w:val="20"/>
        </w:rPr>
        <w:t>ACTION: NICE team to form a working group with members of the committee to further develop an indicator on CVD risk assessmen</w:t>
      </w:r>
      <w:r w:rsidR="00EF1A20">
        <w:rPr>
          <w:rFonts w:ascii="Arial" w:hAnsi="Arial" w:cs="Arial"/>
          <w:b/>
          <w:bCs/>
          <w:sz w:val="20"/>
          <w:szCs w:val="20"/>
        </w:rPr>
        <w:t xml:space="preserve">t for submission to piloting. </w:t>
      </w:r>
    </w:p>
    <w:p w14:paraId="2DAB441A" w14:textId="1F4FD6E9" w:rsidR="00202887" w:rsidRPr="00DE48C5" w:rsidRDefault="00EF1A20" w:rsidP="00F80DAB">
      <w:pPr>
        <w:spacing w:line="240" w:lineRule="auto"/>
        <w:rPr>
          <w:rFonts w:ascii="Arial" w:hAnsi="Arial" w:cs="Arial"/>
          <w:b/>
          <w:sz w:val="20"/>
          <w:szCs w:val="20"/>
        </w:rPr>
      </w:pPr>
      <w:r w:rsidRPr="00EF1A20">
        <w:rPr>
          <w:rFonts w:ascii="Arial" w:hAnsi="Arial" w:cs="Arial"/>
          <w:b/>
          <w:bCs/>
          <w:sz w:val="20"/>
          <w:szCs w:val="20"/>
        </w:rPr>
        <w:t xml:space="preserve">Item 5 - </w:t>
      </w:r>
      <w:r w:rsidR="00202887" w:rsidRPr="00EF1A20">
        <w:rPr>
          <w:rFonts w:ascii="Arial" w:hAnsi="Arial" w:cs="Arial"/>
          <w:b/>
          <w:bCs/>
          <w:sz w:val="20"/>
          <w:szCs w:val="20"/>
        </w:rPr>
        <w:t>Assuring external</w:t>
      </w:r>
      <w:r w:rsidR="00202887" w:rsidRPr="00DE48C5">
        <w:rPr>
          <w:rFonts w:ascii="Arial" w:hAnsi="Arial" w:cs="Arial"/>
          <w:b/>
          <w:sz w:val="20"/>
          <w:szCs w:val="20"/>
        </w:rPr>
        <w:t xml:space="preserve"> indicators – National Library of quality </w:t>
      </w:r>
      <w:proofErr w:type="gramStart"/>
      <w:r w:rsidR="00202887" w:rsidRPr="00DE48C5">
        <w:rPr>
          <w:rFonts w:ascii="Arial" w:hAnsi="Arial" w:cs="Arial"/>
          <w:b/>
          <w:sz w:val="20"/>
          <w:szCs w:val="20"/>
        </w:rPr>
        <w:t>indicators</w:t>
      </w:r>
      <w:proofErr w:type="gramEnd"/>
      <w:r w:rsidR="00202887" w:rsidRPr="00DE48C5">
        <w:rPr>
          <w:rFonts w:ascii="Arial" w:hAnsi="Arial" w:cs="Arial"/>
          <w:b/>
          <w:sz w:val="20"/>
          <w:szCs w:val="20"/>
        </w:rPr>
        <w:t xml:space="preserve"> </w:t>
      </w:r>
    </w:p>
    <w:p w14:paraId="1E605923" w14:textId="7C0A4813" w:rsidR="00202887" w:rsidRPr="00DE48C5" w:rsidRDefault="00202887" w:rsidP="00F80DAB">
      <w:pPr>
        <w:pStyle w:val="Paragraphnonumbers"/>
        <w:spacing w:line="240" w:lineRule="auto"/>
        <w:rPr>
          <w:sz w:val="20"/>
          <w:szCs w:val="20"/>
        </w:rPr>
      </w:pPr>
      <w:r>
        <w:rPr>
          <w:sz w:val="20"/>
          <w:szCs w:val="20"/>
        </w:rPr>
        <w:t>CDG</w:t>
      </w:r>
      <w:r w:rsidRPr="00DE48C5">
        <w:rPr>
          <w:sz w:val="20"/>
          <w:szCs w:val="20"/>
        </w:rPr>
        <w:t xml:space="preserve"> updated the committee about the partnership working with NHS </w:t>
      </w:r>
      <w:r>
        <w:rPr>
          <w:sz w:val="20"/>
          <w:szCs w:val="20"/>
        </w:rPr>
        <w:t>England (formerly NHS Digital)</w:t>
      </w:r>
      <w:r w:rsidRPr="00DE48C5">
        <w:rPr>
          <w:sz w:val="20"/>
          <w:szCs w:val="20"/>
        </w:rPr>
        <w:t xml:space="preserve">.  From April 2020 NICE took on responsibility for publication and assurance of the national library of quality indicators. The review process for renewal of indicators was being supported through </w:t>
      </w:r>
      <w:r>
        <w:rPr>
          <w:sz w:val="20"/>
          <w:szCs w:val="20"/>
        </w:rPr>
        <w:t>NCCID</w:t>
      </w:r>
      <w:r w:rsidRPr="00DE48C5">
        <w:rPr>
          <w:sz w:val="20"/>
          <w:szCs w:val="20"/>
        </w:rPr>
        <w:t>.</w:t>
      </w:r>
    </w:p>
    <w:p w14:paraId="71485653" w14:textId="2B032B36" w:rsidR="00202887" w:rsidRPr="00DE48C5" w:rsidRDefault="00202887" w:rsidP="00F80DAB">
      <w:pPr>
        <w:pStyle w:val="Paragraphnonumbers"/>
        <w:spacing w:line="240" w:lineRule="auto"/>
        <w:rPr>
          <w:sz w:val="20"/>
          <w:szCs w:val="20"/>
        </w:rPr>
      </w:pPr>
      <w:r>
        <w:rPr>
          <w:sz w:val="20"/>
          <w:szCs w:val="20"/>
        </w:rPr>
        <w:t>PC</w:t>
      </w:r>
      <w:r w:rsidRPr="00DE48C5">
        <w:rPr>
          <w:sz w:val="20"/>
          <w:szCs w:val="20"/>
        </w:rPr>
        <w:t xml:space="preserve"> presented the methodology which had been adopted for review of</w:t>
      </w:r>
      <w:r>
        <w:rPr>
          <w:sz w:val="20"/>
          <w:szCs w:val="20"/>
        </w:rPr>
        <w:t xml:space="preserve"> </w:t>
      </w:r>
      <w:r w:rsidRPr="00DE48C5">
        <w:rPr>
          <w:sz w:val="20"/>
          <w:szCs w:val="20"/>
        </w:rPr>
        <w:t xml:space="preserve">indicators due for renewal.  The process was based on the NICE indicator process guide. </w:t>
      </w:r>
    </w:p>
    <w:p w14:paraId="7F249A58" w14:textId="3D209CAB" w:rsidR="00202887" w:rsidRPr="00DE48C5" w:rsidRDefault="00202887" w:rsidP="00F80DAB">
      <w:pPr>
        <w:pStyle w:val="Paragraphnonumbers"/>
        <w:spacing w:line="240" w:lineRule="auto"/>
        <w:rPr>
          <w:sz w:val="20"/>
          <w:szCs w:val="20"/>
        </w:rPr>
      </w:pPr>
      <w:r w:rsidRPr="00DE48C5">
        <w:rPr>
          <w:sz w:val="20"/>
          <w:szCs w:val="20"/>
        </w:rPr>
        <w:t xml:space="preserve">PC presented the assessment of </w:t>
      </w:r>
      <w:r>
        <w:rPr>
          <w:sz w:val="20"/>
          <w:szCs w:val="20"/>
        </w:rPr>
        <w:t>4</w:t>
      </w:r>
      <w:r w:rsidRPr="00DE48C5">
        <w:rPr>
          <w:sz w:val="20"/>
          <w:szCs w:val="20"/>
        </w:rPr>
        <w:t xml:space="preserve"> indicators where the input of the committee was requested.</w:t>
      </w:r>
    </w:p>
    <w:p w14:paraId="0876FE49" w14:textId="4D7D9CBE" w:rsidR="00EF1A20" w:rsidRDefault="00202887" w:rsidP="00F80DAB">
      <w:pPr>
        <w:pStyle w:val="Paragraphnonumbers"/>
        <w:spacing w:line="240" w:lineRule="auto"/>
        <w:rPr>
          <w:sz w:val="20"/>
          <w:szCs w:val="20"/>
        </w:rPr>
      </w:pPr>
      <w:r w:rsidRPr="00053D88">
        <w:rPr>
          <w:sz w:val="20"/>
          <w:szCs w:val="20"/>
        </w:rPr>
        <w:t>IAP00425</w:t>
      </w:r>
      <w:r w:rsidRPr="00DE48C5">
        <w:rPr>
          <w:sz w:val="20"/>
          <w:szCs w:val="20"/>
        </w:rPr>
        <w:t xml:space="preserve"> – </w:t>
      </w:r>
      <w:r w:rsidR="00EF1A20" w:rsidRPr="00EF1A20">
        <w:rPr>
          <w:i/>
          <w:iCs/>
          <w:sz w:val="20"/>
          <w:szCs w:val="20"/>
        </w:rPr>
        <w:t>The proportion of people who use services who say that those services have made them feel safe and secure.</w:t>
      </w:r>
    </w:p>
    <w:p w14:paraId="37687A7A" w14:textId="65136081" w:rsidR="00EF1A20" w:rsidRDefault="00EF1A20" w:rsidP="00F80DAB">
      <w:pPr>
        <w:pStyle w:val="Paragraphnonumbers"/>
        <w:numPr>
          <w:ilvl w:val="0"/>
          <w:numId w:val="22"/>
        </w:numPr>
        <w:spacing w:line="240" w:lineRule="auto"/>
        <w:rPr>
          <w:sz w:val="20"/>
          <w:szCs w:val="20"/>
        </w:rPr>
      </w:pPr>
      <w:r w:rsidRPr="00EF1A20">
        <w:rPr>
          <w:sz w:val="20"/>
          <w:szCs w:val="20"/>
        </w:rPr>
        <w:t xml:space="preserve">Indicator is no longer part of the Adult Social Care Outcomes Framework; </w:t>
      </w:r>
      <w:r w:rsidR="00A2293E" w:rsidRPr="00EF1A20">
        <w:rPr>
          <w:sz w:val="20"/>
          <w:szCs w:val="20"/>
        </w:rPr>
        <w:t>however,</w:t>
      </w:r>
      <w:r w:rsidRPr="00EF1A20">
        <w:rPr>
          <w:sz w:val="20"/>
          <w:szCs w:val="20"/>
        </w:rPr>
        <w:t xml:space="preserve"> the indicator data will continue to be collected and published by the Adult Social Care Survey.</w:t>
      </w:r>
    </w:p>
    <w:p w14:paraId="3A422D43" w14:textId="7526417F" w:rsidR="00202887" w:rsidRDefault="00EF1A20" w:rsidP="00F80DAB">
      <w:pPr>
        <w:pStyle w:val="Paragraphnonumbers"/>
        <w:spacing w:line="240" w:lineRule="auto"/>
        <w:rPr>
          <w:sz w:val="20"/>
          <w:szCs w:val="20"/>
        </w:rPr>
      </w:pPr>
      <w:r w:rsidRPr="00EF1A20">
        <w:rPr>
          <w:b/>
          <w:bCs/>
          <w:sz w:val="20"/>
          <w:szCs w:val="20"/>
        </w:rPr>
        <w:t>T</w:t>
      </w:r>
      <w:r w:rsidR="00202887" w:rsidRPr="00EF1A20">
        <w:rPr>
          <w:b/>
          <w:bCs/>
          <w:sz w:val="20"/>
          <w:szCs w:val="20"/>
        </w:rPr>
        <w:t xml:space="preserve">he committee agreed that this indicator should be </w:t>
      </w:r>
      <w:r w:rsidRPr="00EF1A20">
        <w:rPr>
          <w:b/>
          <w:bCs/>
          <w:sz w:val="20"/>
          <w:szCs w:val="20"/>
        </w:rPr>
        <w:t>renewed</w:t>
      </w:r>
      <w:r>
        <w:rPr>
          <w:sz w:val="20"/>
          <w:szCs w:val="20"/>
        </w:rPr>
        <w:t>.</w:t>
      </w:r>
    </w:p>
    <w:p w14:paraId="4C1A1B41" w14:textId="54B4A79D" w:rsidR="00EF1A20" w:rsidRDefault="00202887" w:rsidP="00F80DAB">
      <w:pPr>
        <w:pStyle w:val="Paragraphnonumbers"/>
        <w:spacing w:line="240" w:lineRule="auto"/>
        <w:rPr>
          <w:sz w:val="20"/>
          <w:szCs w:val="20"/>
        </w:rPr>
      </w:pPr>
      <w:r w:rsidRPr="00053D88">
        <w:rPr>
          <w:sz w:val="20"/>
          <w:szCs w:val="20"/>
        </w:rPr>
        <w:t>IAP00426</w:t>
      </w:r>
      <w:r>
        <w:rPr>
          <w:sz w:val="20"/>
          <w:szCs w:val="20"/>
        </w:rPr>
        <w:t xml:space="preserve"> – </w:t>
      </w:r>
      <w:r w:rsidR="00EF1A20" w:rsidRPr="00EF1A20">
        <w:rPr>
          <w:i/>
          <w:iCs/>
          <w:sz w:val="20"/>
          <w:szCs w:val="20"/>
        </w:rPr>
        <w:t>Tooth extractions due to decay for children admitted as inpatients to hospital, aged 10 years and under</w:t>
      </w:r>
    </w:p>
    <w:p w14:paraId="3EA78DA2" w14:textId="1BE21A5D" w:rsidR="00EF1A20" w:rsidRDefault="00EF1A20" w:rsidP="00F80DAB">
      <w:pPr>
        <w:pStyle w:val="Paragraphnonumbers"/>
        <w:numPr>
          <w:ilvl w:val="0"/>
          <w:numId w:val="21"/>
        </w:numPr>
        <w:spacing w:line="240" w:lineRule="auto"/>
        <w:rPr>
          <w:sz w:val="20"/>
          <w:szCs w:val="20"/>
        </w:rPr>
      </w:pPr>
      <w:r w:rsidRPr="00EF1A20">
        <w:rPr>
          <w:sz w:val="20"/>
          <w:szCs w:val="20"/>
        </w:rPr>
        <w:t>The NHS Outcomes Framework is currently paused, but when published this indicator may signpost to data from OHID. This is the same indicator methodology but at 0-5 and 6-10 age bands rather than 0-10.</w:t>
      </w:r>
    </w:p>
    <w:p w14:paraId="17CF3098" w14:textId="6EE18D20" w:rsidR="00202887" w:rsidRPr="00EF1A20" w:rsidRDefault="00EF1A20" w:rsidP="00F80DAB">
      <w:pPr>
        <w:pStyle w:val="Paragraphnonumbers"/>
        <w:spacing w:line="240" w:lineRule="auto"/>
        <w:rPr>
          <w:b/>
          <w:bCs/>
          <w:sz w:val="20"/>
          <w:szCs w:val="20"/>
        </w:rPr>
      </w:pPr>
      <w:r w:rsidRPr="00EF1A20">
        <w:rPr>
          <w:b/>
          <w:bCs/>
          <w:sz w:val="20"/>
          <w:szCs w:val="20"/>
        </w:rPr>
        <w:t>T</w:t>
      </w:r>
      <w:r w:rsidR="00202887" w:rsidRPr="00EF1A20">
        <w:rPr>
          <w:b/>
          <w:bCs/>
          <w:sz w:val="20"/>
          <w:szCs w:val="20"/>
        </w:rPr>
        <w:t xml:space="preserve">he committee agreed that this indicator should be renewed. </w:t>
      </w:r>
    </w:p>
    <w:p w14:paraId="36E3F27B" w14:textId="090A6B5E" w:rsidR="00EF1A20" w:rsidRDefault="00202887" w:rsidP="00F80DAB">
      <w:pPr>
        <w:pStyle w:val="Paragraphnonumbers"/>
        <w:spacing w:line="240" w:lineRule="auto"/>
        <w:rPr>
          <w:sz w:val="20"/>
          <w:szCs w:val="20"/>
        </w:rPr>
      </w:pPr>
      <w:r w:rsidRPr="00053D88">
        <w:rPr>
          <w:sz w:val="20"/>
          <w:szCs w:val="20"/>
        </w:rPr>
        <w:t>IAP00610</w:t>
      </w:r>
      <w:r w:rsidR="00EF1A20" w:rsidRPr="00053D88">
        <w:rPr>
          <w:sz w:val="20"/>
          <w:szCs w:val="20"/>
        </w:rPr>
        <w:t>/611</w:t>
      </w:r>
      <w:r>
        <w:rPr>
          <w:sz w:val="20"/>
          <w:szCs w:val="20"/>
        </w:rPr>
        <w:t xml:space="preserve"> – </w:t>
      </w:r>
      <w:r w:rsidR="00EF1A20" w:rsidRPr="00EF1A20">
        <w:rPr>
          <w:i/>
          <w:iCs/>
          <w:sz w:val="20"/>
          <w:szCs w:val="20"/>
        </w:rPr>
        <w:t>Adherence to nebulised therapy in Cystic Fibrosis</w:t>
      </w:r>
      <w:r w:rsidR="00EF1A20" w:rsidRPr="00EF1A20">
        <w:rPr>
          <w:sz w:val="20"/>
          <w:szCs w:val="20"/>
        </w:rPr>
        <w:t xml:space="preserve"> </w:t>
      </w:r>
    </w:p>
    <w:p w14:paraId="3A1F32CA" w14:textId="6AC1686D" w:rsidR="00EF1A20" w:rsidRPr="00EF1A20" w:rsidRDefault="00EF1A20" w:rsidP="00F80DAB">
      <w:pPr>
        <w:pStyle w:val="Paragraphnonumbers"/>
        <w:numPr>
          <w:ilvl w:val="0"/>
          <w:numId w:val="20"/>
        </w:numPr>
        <w:spacing w:line="240" w:lineRule="auto"/>
        <w:rPr>
          <w:sz w:val="20"/>
          <w:szCs w:val="20"/>
        </w:rPr>
      </w:pPr>
      <w:r w:rsidRPr="00EF1A20">
        <w:rPr>
          <w:sz w:val="20"/>
          <w:szCs w:val="20"/>
        </w:rPr>
        <w:t xml:space="preserve">The indicators as stands meet all criteria for renewal; </w:t>
      </w:r>
      <w:r w:rsidR="00DF39D1" w:rsidRPr="00EF1A20">
        <w:rPr>
          <w:sz w:val="20"/>
          <w:szCs w:val="20"/>
        </w:rPr>
        <w:t>however,</w:t>
      </w:r>
      <w:r w:rsidRPr="00EF1A20">
        <w:rPr>
          <w:sz w:val="20"/>
          <w:szCs w:val="20"/>
        </w:rPr>
        <w:t xml:space="preserve"> to date there is no available data collected and published to support the indicators as initially approved in </w:t>
      </w:r>
      <w:r w:rsidR="006F1C70" w:rsidRPr="00EF1A20">
        <w:rPr>
          <w:sz w:val="20"/>
          <w:szCs w:val="20"/>
        </w:rPr>
        <w:t>2019.</w:t>
      </w:r>
      <w:r w:rsidRPr="00EF1A20">
        <w:rPr>
          <w:sz w:val="20"/>
          <w:szCs w:val="20"/>
        </w:rPr>
        <w:t xml:space="preserve"> </w:t>
      </w:r>
    </w:p>
    <w:p w14:paraId="59EC49D2" w14:textId="006DC13F" w:rsidR="00EF1A20" w:rsidRDefault="00CD2E22" w:rsidP="00F80DAB">
      <w:pPr>
        <w:pStyle w:val="Paragraphnonumbers"/>
        <w:numPr>
          <w:ilvl w:val="0"/>
          <w:numId w:val="20"/>
        </w:numPr>
        <w:spacing w:line="240" w:lineRule="auto"/>
        <w:rPr>
          <w:sz w:val="20"/>
          <w:szCs w:val="20"/>
        </w:rPr>
      </w:pPr>
      <w:r>
        <w:rPr>
          <w:sz w:val="20"/>
          <w:szCs w:val="20"/>
        </w:rPr>
        <w:t>NEQOS</w:t>
      </w:r>
      <w:r w:rsidR="00EF1A20" w:rsidRPr="00EF1A20">
        <w:rPr>
          <w:sz w:val="20"/>
          <w:szCs w:val="20"/>
        </w:rPr>
        <w:t xml:space="preserve"> recommended renewal at this time, however subsequent assessment should consider the changing evidence base on Cystic Fibrosis treatment.</w:t>
      </w:r>
    </w:p>
    <w:p w14:paraId="610D307A" w14:textId="167C7A36" w:rsidR="00EF1A20" w:rsidRDefault="00EF1A20" w:rsidP="00F80DAB">
      <w:pPr>
        <w:pStyle w:val="Paragraphnonumbers"/>
        <w:spacing w:line="240" w:lineRule="auto"/>
        <w:rPr>
          <w:b/>
          <w:bCs/>
          <w:sz w:val="20"/>
          <w:szCs w:val="20"/>
        </w:rPr>
      </w:pPr>
      <w:r w:rsidRPr="00EF1A20">
        <w:rPr>
          <w:b/>
          <w:bCs/>
          <w:sz w:val="20"/>
          <w:szCs w:val="20"/>
        </w:rPr>
        <w:t xml:space="preserve">The committee agreed that these indicators should be renewed. </w:t>
      </w:r>
    </w:p>
    <w:p w14:paraId="133588DD" w14:textId="75CCBC3D" w:rsidR="00A2293E" w:rsidRPr="00DE48C5" w:rsidRDefault="00A2293E" w:rsidP="00F80DAB">
      <w:pPr>
        <w:spacing w:line="240" w:lineRule="auto"/>
        <w:rPr>
          <w:rFonts w:ascii="Arial" w:hAnsi="Arial" w:cs="Arial"/>
          <w:b/>
          <w:sz w:val="20"/>
          <w:szCs w:val="20"/>
        </w:rPr>
      </w:pPr>
      <w:r w:rsidRPr="00EF1A20">
        <w:rPr>
          <w:rFonts w:ascii="Arial" w:hAnsi="Arial" w:cs="Arial"/>
          <w:b/>
          <w:bCs/>
          <w:sz w:val="20"/>
          <w:szCs w:val="20"/>
        </w:rPr>
        <w:t xml:space="preserve">Item </w:t>
      </w:r>
      <w:r>
        <w:rPr>
          <w:rFonts w:ascii="Arial" w:hAnsi="Arial" w:cs="Arial"/>
          <w:b/>
          <w:bCs/>
          <w:sz w:val="20"/>
          <w:szCs w:val="20"/>
        </w:rPr>
        <w:t>6</w:t>
      </w:r>
      <w:r w:rsidRPr="00EF1A20">
        <w:rPr>
          <w:rFonts w:ascii="Arial" w:hAnsi="Arial" w:cs="Arial"/>
          <w:b/>
          <w:bCs/>
          <w:sz w:val="20"/>
          <w:szCs w:val="20"/>
        </w:rPr>
        <w:t xml:space="preserve"> </w:t>
      </w:r>
      <w:r>
        <w:rPr>
          <w:rFonts w:ascii="Arial" w:hAnsi="Arial" w:cs="Arial"/>
          <w:b/>
          <w:bCs/>
          <w:sz w:val="20"/>
          <w:szCs w:val="20"/>
        </w:rPr>
        <w:t>–</w:t>
      </w:r>
      <w:r w:rsidRPr="00EF1A20">
        <w:rPr>
          <w:rFonts w:ascii="Arial" w:hAnsi="Arial" w:cs="Arial"/>
          <w:b/>
          <w:bCs/>
          <w:sz w:val="20"/>
          <w:szCs w:val="20"/>
        </w:rPr>
        <w:t xml:space="preserve"> </w:t>
      </w:r>
      <w:r>
        <w:rPr>
          <w:rFonts w:ascii="Arial" w:hAnsi="Arial" w:cs="Arial"/>
          <w:b/>
          <w:bCs/>
          <w:sz w:val="20"/>
          <w:szCs w:val="20"/>
        </w:rPr>
        <w:t xml:space="preserve">Health inequalities </w:t>
      </w:r>
      <w:r w:rsidRPr="00DE48C5">
        <w:rPr>
          <w:rFonts w:ascii="Arial" w:hAnsi="Arial" w:cs="Arial"/>
          <w:b/>
          <w:sz w:val="20"/>
          <w:szCs w:val="20"/>
        </w:rPr>
        <w:t xml:space="preserve"> </w:t>
      </w:r>
    </w:p>
    <w:p w14:paraId="64D9D10B" w14:textId="5ACC496C" w:rsidR="00A2293E" w:rsidRDefault="00D373B4" w:rsidP="00F80DAB">
      <w:pPr>
        <w:pStyle w:val="Paragraphnonumbers"/>
        <w:spacing w:line="240" w:lineRule="auto"/>
        <w:rPr>
          <w:sz w:val="20"/>
          <w:szCs w:val="20"/>
        </w:rPr>
      </w:pPr>
      <w:r>
        <w:rPr>
          <w:sz w:val="20"/>
          <w:szCs w:val="20"/>
        </w:rPr>
        <w:t xml:space="preserve">CDG and KT presented to the committee a selection of new proposed indicators that could help mitigate the risks of perpetuating or exacerbating health inequality. It was noted that this was a follow on from an initial NEQOS report presented to the committee at the December 2022 meeting. </w:t>
      </w:r>
    </w:p>
    <w:p w14:paraId="7AEBB403" w14:textId="7295538D" w:rsidR="00D373B4" w:rsidRPr="00D373B4" w:rsidRDefault="00D373B4" w:rsidP="00F80DAB">
      <w:pPr>
        <w:pStyle w:val="Paragraphnonumbers"/>
        <w:spacing w:line="240" w:lineRule="auto"/>
        <w:rPr>
          <w:sz w:val="20"/>
          <w:szCs w:val="20"/>
          <w:u w:val="single"/>
        </w:rPr>
      </w:pPr>
      <w:r w:rsidRPr="00D373B4">
        <w:rPr>
          <w:sz w:val="20"/>
          <w:szCs w:val="20"/>
          <w:u w:val="single"/>
        </w:rPr>
        <w:t>Cancer</w:t>
      </w:r>
    </w:p>
    <w:p w14:paraId="27B3C9EB" w14:textId="23C29570" w:rsidR="00D373B4" w:rsidRDefault="00D373B4" w:rsidP="00F80DAB">
      <w:pPr>
        <w:pStyle w:val="Paragraphnonumbers"/>
        <w:spacing w:line="240" w:lineRule="auto"/>
        <w:rPr>
          <w:i/>
          <w:iCs/>
          <w:sz w:val="20"/>
          <w:szCs w:val="20"/>
        </w:rPr>
      </w:pPr>
      <w:r w:rsidRPr="00D373B4">
        <w:rPr>
          <w:i/>
          <w:iCs/>
          <w:sz w:val="20"/>
          <w:szCs w:val="20"/>
        </w:rPr>
        <w:t>Percentage of lower gastrointestinal two week wait (fast track) cancer referrals accompanied by a faecal immunochemical test (FIT) result, with the result recorded in the twenty-one days leading up to the referral.</w:t>
      </w:r>
    </w:p>
    <w:p w14:paraId="04925567" w14:textId="74B5E720" w:rsidR="00D373B4" w:rsidRPr="00D373B4" w:rsidRDefault="001939FF" w:rsidP="00F80DAB">
      <w:pPr>
        <w:pStyle w:val="Paragraphnonumbers"/>
        <w:spacing w:line="240" w:lineRule="auto"/>
        <w:rPr>
          <w:sz w:val="20"/>
          <w:szCs w:val="20"/>
        </w:rPr>
      </w:pPr>
      <w:r>
        <w:rPr>
          <w:sz w:val="20"/>
          <w:szCs w:val="20"/>
        </w:rPr>
        <w:t xml:space="preserve">CDG highlighted that this indicator could progress to the NICE menu </w:t>
      </w:r>
      <w:r w:rsidR="00016DAC">
        <w:rPr>
          <w:sz w:val="20"/>
          <w:szCs w:val="20"/>
        </w:rPr>
        <w:t xml:space="preserve">in its current form as it is </w:t>
      </w:r>
      <w:r>
        <w:rPr>
          <w:sz w:val="20"/>
          <w:szCs w:val="20"/>
        </w:rPr>
        <w:t>already used in practice</w:t>
      </w:r>
      <w:r w:rsidR="00125713">
        <w:rPr>
          <w:sz w:val="20"/>
          <w:szCs w:val="20"/>
        </w:rPr>
        <w:t xml:space="preserve"> in the Investment and Impact Fund (IIF)</w:t>
      </w:r>
      <w:r>
        <w:rPr>
          <w:sz w:val="20"/>
          <w:szCs w:val="20"/>
        </w:rPr>
        <w:t xml:space="preserve">, and further testing </w:t>
      </w:r>
      <w:r w:rsidR="00016DAC">
        <w:rPr>
          <w:sz w:val="20"/>
          <w:szCs w:val="20"/>
        </w:rPr>
        <w:t>will likely</w:t>
      </w:r>
      <w:r>
        <w:rPr>
          <w:sz w:val="20"/>
          <w:szCs w:val="20"/>
        </w:rPr>
        <w:t xml:space="preserve"> not produce any new information.</w:t>
      </w:r>
    </w:p>
    <w:p w14:paraId="51BFD04B" w14:textId="3920D44B" w:rsidR="00D373B4" w:rsidRPr="00D373B4" w:rsidRDefault="00D373B4" w:rsidP="00F80DAB">
      <w:pPr>
        <w:pStyle w:val="Paragraphnonumbers"/>
        <w:spacing w:line="240" w:lineRule="auto"/>
        <w:rPr>
          <w:sz w:val="20"/>
          <w:szCs w:val="20"/>
        </w:rPr>
      </w:pPr>
      <w:r w:rsidRPr="00D373B4">
        <w:rPr>
          <w:sz w:val="20"/>
          <w:szCs w:val="20"/>
        </w:rPr>
        <w:lastRenderedPageBreak/>
        <w:t xml:space="preserve">The committee </w:t>
      </w:r>
      <w:r>
        <w:rPr>
          <w:sz w:val="20"/>
          <w:szCs w:val="20"/>
        </w:rPr>
        <w:t>was</w:t>
      </w:r>
      <w:r w:rsidRPr="00D373B4">
        <w:rPr>
          <w:sz w:val="20"/>
          <w:szCs w:val="20"/>
        </w:rPr>
        <w:t xml:space="preserve"> asked to consider whether this indicator should </w:t>
      </w:r>
      <w:r>
        <w:rPr>
          <w:sz w:val="20"/>
          <w:szCs w:val="20"/>
        </w:rPr>
        <w:t>progress</w:t>
      </w:r>
      <w:r w:rsidR="00C6550B">
        <w:rPr>
          <w:sz w:val="20"/>
          <w:szCs w:val="20"/>
        </w:rPr>
        <w:t>.</w:t>
      </w:r>
    </w:p>
    <w:p w14:paraId="0E7714F8" w14:textId="557D08A7" w:rsidR="002361C8" w:rsidRDefault="00D373B4" w:rsidP="00F80DAB">
      <w:pPr>
        <w:pStyle w:val="Paragraphnonumbers"/>
        <w:spacing w:line="240" w:lineRule="auto"/>
        <w:rPr>
          <w:sz w:val="20"/>
          <w:szCs w:val="20"/>
        </w:rPr>
      </w:pPr>
      <w:r>
        <w:rPr>
          <w:sz w:val="20"/>
          <w:szCs w:val="20"/>
        </w:rPr>
        <w:t xml:space="preserve">Members </w:t>
      </w:r>
      <w:r w:rsidR="002361C8">
        <w:rPr>
          <w:sz w:val="20"/>
          <w:szCs w:val="20"/>
        </w:rPr>
        <w:t>questioned the extent to which FIT would support reduction of health inequalities but did agree that it would help reduce unnecessary referral to secondary care</w:t>
      </w:r>
      <w:r w:rsidR="00B32439">
        <w:rPr>
          <w:sz w:val="20"/>
          <w:szCs w:val="20"/>
        </w:rPr>
        <w:t xml:space="preserve">. </w:t>
      </w:r>
      <w:r w:rsidR="002361C8">
        <w:rPr>
          <w:sz w:val="20"/>
          <w:szCs w:val="20"/>
        </w:rPr>
        <w:t xml:space="preserve">There was some uncertainty as to whether the indicator would add value given that FIT testing prior to referral had been rolled out across cancer pathways for lower gastrointestinal cancer. However, data from the Investment and Impact Fund 2022/23 shows that some variation still exists in practice. </w:t>
      </w:r>
    </w:p>
    <w:p w14:paraId="0FD7ECD6" w14:textId="23C2DAF6" w:rsidR="00D373B4" w:rsidRDefault="002361C8" w:rsidP="00F80DAB">
      <w:pPr>
        <w:pStyle w:val="Paragraphnonumbers"/>
        <w:spacing w:line="240" w:lineRule="auto"/>
        <w:rPr>
          <w:sz w:val="20"/>
          <w:szCs w:val="20"/>
        </w:rPr>
      </w:pPr>
      <w:r>
        <w:rPr>
          <w:sz w:val="20"/>
          <w:szCs w:val="20"/>
        </w:rPr>
        <w:t xml:space="preserve">The committee </w:t>
      </w:r>
      <w:r w:rsidR="00125713">
        <w:rPr>
          <w:sz w:val="20"/>
          <w:szCs w:val="20"/>
        </w:rPr>
        <w:t>agreed</w:t>
      </w:r>
      <w:r>
        <w:rPr>
          <w:sz w:val="20"/>
          <w:szCs w:val="20"/>
        </w:rPr>
        <w:t xml:space="preserve"> that </w:t>
      </w:r>
      <w:r w:rsidR="00C32775">
        <w:rPr>
          <w:sz w:val="20"/>
          <w:szCs w:val="20"/>
        </w:rPr>
        <w:t xml:space="preserve">there may be </w:t>
      </w:r>
      <w:r w:rsidR="00125713">
        <w:rPr>
          <w:sz w:val="20"/>
          <w:szCs w:val="20"/>
        </w:rPr>
        <w:t xml:space="preserve">minimal </w:t>
      </w:r>
      <w:r w:rsidR="00C32775">
        <w:rPr>
          <w:sz w:val="20"/>
          <w:szCs w:val="20"/>
        </w:rPr>
        <w:t xml:space="preserve">value gained </w:t>
      </w:r>
      <w:r w:rsidR="00125713">
        <w:rPr>
          <w:sz w:val="20"/>
          <w:szCs w:val="20"/>
        </w:rPr>
        <w:t xml:space="preserve">from </w:t>
      </w:r>
      <w:r w:rsidR="00C32775">
        <w:rPr>
          <w:sz w:val="20"/>
          <w:szCs w:val="20"/>
        </w:rPr>
        <w:t xml:space="preserve">consulting on </w:t>
      </w:r>
      <w:r w:rsidR="00125713">
        <w:rPr>
          <w:sz w:val="20"/>
          <w:szCs w:val="20"/>
        </w:rPr>
        <w:t>the indicators given the support for recently updated guideline DG56 and the indicator already being used in the IIF</w:t>
      </w:r>
      <w:r w:rsidR="00C32775">
        <w:rPr>
          <w:sz w:val="20"/>
          <w:szCs w:val="20"/>
        </w:rPr>
        <w:t xml:space="preserve">. </w:t>
      </w:r>
    </w:p>
    <w:p w14:paraId="78A23501" w14:textId="2F6D303E" w:rsidR="00D373B4" w:rsidRDefault="00C32775" w:rsidP="00F80DAB">
      <w:pPr>
        <w:pStyle w:val="Paragraphnonumbers"/>
        <w:spacing w:line="240" w:lineRule="auto"/>
        <w:rPr>
          <w:b/>
          <w:bCs/>
          <w:sz w:val="20"/>
          <w:szCs w:val="20"/>
        </w:rPr>
      </w:pPr>
      <w:r w:rsidRPr="00C32775">
        <w:rPr>
          <w:b/>
          <w:bCs/>
          <w:sz w:val="20"/>
          <w:szCs w:val="20"/>
        </w:rPr>
        <w:t xml:space="preserve">ACTION: NICE team to progress this indicator to the NICE menu as suitable for use in the QOF. </w:t>
      </w:r>
    </w:p>
    <w:p w14:paraId="0AB78DDD" w14:textId="24C3BB4C" w:rsidR="00125713" w:rsidRPr="00D373B4" w:rsidRDefault="00125713" w:rsidP="00F80DAB">
      <w:pPr>
        <w:pStyle w:val="Paragraphnonumbers"/>
        <w:spacing w:line="240" w:lineRule="auto"/>
        <w:rPr>
          <w:b/>
          <w:bCs/>
          <w:sz w:val="20"/>
          <w:szCs w:val="20"/>
        </w:rPr>
      </w:pPr>
      <w:r>
        <w:rPr>
          <w:b/>
          <w:bCs/>
          <w:sz w:val="20"/>
          <w:szCs w:val="20"/>
        </w:rPr>
        <w:t>Action: NICE to assign a shorter review date given concerns that it may quickly become obsolete.</w:t>
      </w:r>
    </w:p>
    <w:p w14:paraId="4CCFEE68" w14:textId="773E53EE" w:rsidR="00C32775" w:rsidRPr="00D373B4" w:rsidRDefault="00C32775" w:rsidP="00F80DAB">
      <w:pPr>
        <w:pStyle w:val="Paragraphnonumbers"/>
        <w:spacing w:line="240" w:lineRule="auto"/>
        <w:rPr>
          <w:sz w:val="20"/>
          <w:szCs w:val="20"/>
          <w:u w:val="single"/>
        </w:rPr>
      </w:pPr>
      <w:r>
        <w:rPr>
          <w:sz w:val="20"/>
          <w:szCs w:val="20"/>
          <w:u w:val="single"/>
        </w:rPr>
        <w:t>Maternity</w:t>
      </w:r>
    </w:p>
    <w:p w14:paraId="2633B614" w14:textId="56E21827" w:rsidR="00C32775" w:rsidRPr="00C32775" w:rsidRDefault="00C32775" w:rsidP="00F80DAB">
      <w:pPr>
        <w:pStyle w:val="Paragraphnonumbers"/>
        <w:spacing w:line="240" w:lineRule="auto"/>
        <w:rPr>
          <w:i/>
          <w:iCs/>
          <w:sz w:val="20"/>
          <w:szCs w:val="20"/>
        </w:rPr>
      </w:pPr>
      <w:r w:rsidRPr="00C32775">
        <w:rPr>
          <w:i/>
          <w:iCs/>
          <w:sz w:val="20"/>
          <w:szCs w:val="20"/>
        </w:rPr>
        <w:t>The percentage of women who have given birth between 2 and 14 months previously who had a 6-week postnatal check with a GP which included:</w:t>
      </w:r>
      <w:r>
        <w:rPr>
          <w:i/>
          <w:iCs/>
          <w:sz w:val="20"/>
          <w:szCs w:val="20"/>
        </w:rPr>
        <w:t xml:space="preserve"> p</w:t>
      </w:r>
      <w:r w:rsidRPr="00C32775">
        <w:rPr>
          <w:i/>
          <w:iCs/>
          <w:sz w:val="20"/>
          <w:szCs w:val="20"/>
        </w:rPr>
        <w:t>hysical health following the birth</w:t>
      </w:r>
      <w:r>
        <w:rPr>
          <w:i/>
          <w:iCs/>
          <w:sz w:val="20"/>
          <w:szCs w:val="20"/>
        </w:rPr>
        <w:t>, m</w:t>
      </w:r>
      <w:r w:rsidRPr="00C32775">
        <w:rPr>
          <w:i/>
          <w:iCs/>
          <w:sz w:val="20"/>
          <w:szCs w:val="20"/>
        </w:rPr>
        <w:t>ental health and wellbeing</w:t>
      </w:r>
      <w:r>
        <w:rPr>
          <w:i/>
          <w:iCs/>
          <w:sz w:val="20"/>
          <w:szCs w:val="20"/>
        </w:rPr>
        <w:t>, i</w:t>
      </w:r>
      <w:r w:rsidRPr="00C32775">
        <w:rPr>
          <w:i/>
          <w:iCs/>
          <w:sz w:val="20"/>
          <w:szCs w:val="20"/>
        </w:rPr>
        <w:t>nter-pregnancy planning or contraception</w:t>
      </w:r>
      <w:r>
        <w:rPr>
          <w:i/>
          <w:iCs/>
          <w:sz w:val="20"/>
          <w:szCs w:val="20"/>
        </w:rPr>
        <w:t>, and a</w:t>
      </w:r>
      <w:r w:rsidRPr="00C32775">
        <w:rPr>
          <w:i/>
          <w:iCs/>
          <w:sz w:val="20"/>
          <w:szCs w:val="20"/>
        </w:rPr>
        <w:t xml:space="preserve"> review of chronic conditions</w:t>
      </w:r>
      <w:r>
        <w:rPr>
          <w:i/>
          <w:iCs/>
          <w:sz w:val="20"/>
          <w:szCs w:val="20"/>
        </w:rPr>
        <w:t>.</w:t>
      </w:r>
    </w:p>
    <w:p w14:paraId="45895236" w14:textId="551A85F6" w:rsidR="00657CE2" w:rsidRPr="00657CE2" w:rsidRDefault="00657CE2" w:rsidP="00F80DAB">
      <w:pPr>
        <w:pStyle w:val="Paragraphnonumbers"/>
        <w:spacing w:line="240" w:lineRule="auto"/>
        <w:rPr>
          <w:sz w:val="20"/>
          <w:szCs w:val="20"/>
        </w:rPr>
      </w:pPr>
      <w:r w:rsidRPr="00657CE2">
        <w:rPr>
          <w:sz w:val="20"/>
          <w:szCs w:val="20"/>
        </w:rPr>
        <w:t xml:space="preserve">The committee </w:t>
      </w:r>
      <w:r>
        <w:rPr>
          <w:sz w:val="20"/>
          <w:szCs w:val="20"/>
        </w:rPr>
        <w:t>was</w:t>
      </w:r>
      <w:r w:rsidRPr="00657CE2">
        <w:rPr>
          <w:sz w:val="20"/>
          <w:szCs w:val="20"/>
        </w:rPr>
        <w:t xml:space="preserve"> asked to consider whether this indicator should progress to consultation and/or piloting</w:t>
      </w:r>
      <w:r w:rsidR="00C6550B">
        <w:rPr>
          <w:sz w:val="20"/>
          <w:szCs w:val="20"/>
        </w:rPr>
        <w:t>.</w:t>
      </w:r>
    </w:p>
    <w:p w14:paraId="6A61AE84" w14:textId="316DD9FD" w:rsidR="00125713" w:rsidRDefault="005254A8" w:rsidP="00F80DAB">
      <w:pPr>
        <w:pStyle w:val="Paragraphnonumbers"/>
        <w:spacing w:line="240" w:lineRule="auto"/>
        <w:rPr>
          <w:sz w:val="20"/>
          <w:szCs w:val="20"/>
        </w:rPr>
      </w:pPr>
      <w:r>
        <w:rPr>
          <w:sz w:val="20"/>
          <w:szCs w:val="20"/>
        </w:rPr>
        <w:t xml:space="preserve">Members suggested that </w:t>
      </w:r>
      <w:r w:rsidR="00125713">
        <w:rPr>
          <w:sz w:val="20"/>
          <w:szCs w:val="20"/>
        </w:rPr>
        <w:t xml:space="preserve">proposed </w:t>
      </w:r>
      <w:r>
        <w:rPr>
          <w:sz w:val="20"/>
          <w:szCs w:val="20"/>
        </w:rPr>
        <w:t xml:space="preserve">indicator </w:t>
      </w:r>
      <w:r w:rsidR="00125713">
        <w:rPr>
          <w:sz w:val="20"/>
          <w:szCs w:val="20"/>
        </w:rPr>
        <w:t xml:space="preserve">could </w:t>
      </w:r>
      <w:r>
        <w:rPr>
          <w:sz w:val="20"/>
          <w:szCs w:val="20"/>
        </w:rPr>
        <w:t xml:space="preserve">increase inequality </w:t>
      </w:r>
      <w:r w:rsidR="00125713">
        <w:rPr>
          <w:sz w:val="20"/>
          <w:szCs w:val="20"/>
        </w:rPr>
        <w:t xml:space="preserve">as practices may focus on recall on patients more likely to attend. It was suggested that the indicator could focus on </w:t>
      </w:r>
      <w:r>
        <w:rPr>
          <w:sz w:val="20"/>
          <w:szCs w:val="20"/>
        </w:rPr>
        <w:t xml:space="preserve">less privileged or higher risk groups. It was </w:t>
      </w:r>
      <w:r w:rsidR="00125713">
        <w:rPr>
          <w:sz w:val="20"/>
          <w:szCs w:val="20"/>
        </w:rPr>
        <w:t xml:space="preserve">noted </w:t>
      </w:r>
      <w:r>
        <w:rPr>
          <w:sz w:val="20"/>
          <w:szCs w:val="20"/>
        </w:rPr>
        <w:t>that it is difficult to identify such groups</w:t>
      </w:r>
      <w:r w:rsidR="00403D8B">
        <w:rPr>
          <w:sz w:val="20"/>
          <w:szCs w:val="20"/>
        </w:rPr>
        <w:t xml:space="preserve"> using coded information in general practice</w:t>
      </w:r>
      <w:r>
        <w:rPr>
          <w:sz w:val="20"/>
          <w:szCs w:val="20"/>
        </w:rPr>
        <w:t xml:space="preserve">. </w:t>
      </w:r>
    </w:p>
    <w:p w14:paraId="2D1C7770" w14:textId="385C39DF" w:rsidR="004C7AF5" w:rsidRDefault="005254A8" w:rsidP="00F80DAB">
      <w:pPr>
        <w:pStyle w:val="Paragraphnonumbers"/>
        <w:spacing w:line="240" w:lineRule="auto"/>
        <w:rPr>
          <w:sz w:val="20"/>
          <w:szCs w:val="20"/>
        </w:rPr>
      </w:pPr>
      <w:r>
        <w:rPr>
          <w:sz w:val="20"/>
          <w:szCs w:val="20"/>
        </w:rPr>
        <w:t xml:space="preserve">It was </w:t>
      </w:r>
      <w:r w:rsidR="00125713">
        <w:rPr>
          <w:sz w:val="20"/>
          <w:szCs w:val="20"/>
        </w:rPr>
        <w:t xml:space="preserve">also </w:t>
      </w:r>
      <w:r>
        <w:rPr>
          <w:sz w:val="20"/>
          <w:szCs w:val="20"/>
        </w:rPr>
        <w:t xml:space="preserve">noted that specifying that the review </w:t>
      </w:r>
      <w:r w:rsidR="00B91A64">
        <w:rPr>
          <w:sz w:val="20"/>
          <w:szCs w:val="20"/>
        </w:rPr>
        <w:t xml:space="preserve">should </w:t>
      </w:r>
      <w:r>
        <w:rPr>
          <w:sz w:val="20"/>
          <w:szCs w:val="20"/>
        </w:rPr>
        <w:t xml:space="preserve">be face to face </w:t>
      </w:r>
      <w:r w:rsidR="00125713">
        <w:rPr>
          <w:sz w:val="20"/>
          <w:szCs w:val="20"/>
        </w:rPr>
        <w:t xml:space="preserve">could </w:t>
      </w:r>
      <w:r>
        <w:rPr>
          <w:sz w:val="20"/>
          <w:szCs w:val="20"/>
        </w:rPr>
        <w:t>be a source of inequality as certain people may lack the ability to attend appointments. It was noted that some practices conduct the review over the phone which is well received.</w:t>
      </w:r>
      <w:r w:rsidR="00A56BFF">
        <w:rPr>
          <w:sz w:val="20"/>
          <w:szCs w:val="20"/>
        </w:rPr>
        <w:t xml:space="preserve"> It was agreed that the indicator should not specify face-to-face and should be left up to the clinical judgement of the doctor.</w:t>
      </w:r>
      <w:r w:rsidR="007B4415">
        <w:rPr>
          <w:sz w:val="20"/>
          <w:szCs w:val="20"/>
        </w:rPr>
        <w:t xml:space="preserve"> </w:t>
      </w:r>
      <w:r w:rsidR="007B4415">
        <w:rPr>
          <w:sz w:val="20"/>
          <w:szCs w:val="20"/>
        </w:rPr>
        <w:br/>
      </w:r>
      <w:r w:rsidR="007B4415">
        <w:rPr>
          <w:sz w:val="20"/>
          <w:szCs w:val="20"/>
        </w:rPr>
        <w:br/>
      </w:r>
      <w:r w:rsidR="00D036E9">
        <w:rPr>
          <w:sz w:val="20"/>
          <w:szCs w:val="20"/>
        </w:rPr>
        <w:t xml:space="preserve">It was </w:t>
      </w:r>
      <w:r>
        <w:rPr>
          <w:sz w:val="20"/>
          <w:szCs w:val="20"/>
        </w:rPr>
        <w:t xml:space="preserve">suggested that two indicators could be devised; </w:t>
      </w:r>
      <w:r w:rsidR="009E5909">
        <w:rPr>
          <w:sz w:val="20"/>
          <w:szCs w:val="20"/>
        </w:rPr>
        <w:t xml:space="preserve">one to </w:t>
      </w:r>
      <w:r>
        <w:rPr>
          <w:sz w:val="20"/>
          <w:szCs w:val="20"/>
        </w:rPr>
        <w:t xml:space="preserve">incorporate all mothers, </w:t>
      </w:r>
      <w:r w:rsidR="00A56BFF">
        <w:rPr>
          <w:sz w:val="20"/>
          <w:szCs w:val="20"/>
        </w:rPr>
        <w:t>and one</w:t>
      </w:r>
      <w:r w:rsidR="009E5909">
        <w:rPr>
          <w:sz w:val="20"/>
          <w:szCs w:val="20"/>
        </w:rPr>
        <w:t xml:space="preserve"> to incorporate </w:t>
      </w:r>
      <w:r>
        <w:rPr>
          <w:sz w:val="20"/>
          <w:szCs w:val="20"/>
        </w:rPr>
        <w:t xml:space="preserve">mothers at high risk. </w:t>
      </w:r>
      <w:r w:rsidR="009E5909">
        <w:rPr>
          <w:sz w:val="20"/>
          <w:szCs w:val="20"/>
        </w:rPr>
        <w:t>The NICE team queried as to whether the high-risk groups such as relating to complex social factors can be appropriately coded. It was highlighted that</w:t>
      </w:r>
      <w:r w:rsidR="0069052B">
        <w:rPr>
          <w:sz w:val="20"/>
          <w:szCs w:val="20"/>
        </w:rPr>
        <w:t xml:space="preserve"> the</w:t>
      </w:r>
      <w:r w:rsidR="009E5909">
        <w:rPr>
          <w:sz w:val="20"/>
          <w:szCs w:val="20"/>
        </w:rPr>
        <w:t xml:space="preserve"> </w:t>
      </w:r>
      <w:r w:rsidR="0069052B">
        <w:rPr>
          <w:sz w:val="20"/>
          <w:szCs w:val="20"/>
        </w:rPr>
        <w:t>maternity services dataset contains a ‘flag’ for complex social factors and that this may be more suitable as a network level indicator.</w:t>
      </w:r>
    </w:p>
    <w:p w14:paraId="45AC84FB" w14:textId="23A80B45" w:rsidR="00C134B4" w:rsidRDefault="001A5B30" w:rsidP="00F80DAB">
      <w:pPr>
        <w:pStyle w:val="Paragraphnonumbers"/>
        <w:spacing w:line="240" w:lineRule="auto"/>
        <w:rPr>
          <w:sz w:val="20"/>
          <w:szCs w:val="20"/>
        </w:rPr>
      </w:pPr>
      <w:r>
        <w:rPr>
          <w:sz w:val="20"/>
          <w:szCs w:val="20"/>
        </w:rPr>
        <w:t>Members</w:t>
      </w:r>
      <w:r w:rsidR="004C7AF5">
        <w:rPr>
          <w:sz w:val="20"/>
          <w:szCs w:val="20"/>
        </w:rPr>
        <w:t xml:space="preserve"> discussed the</w:t>
      </w:r>
      <w:r w:rsidR="00D036E9">
        <w:rPr>
          <w:sz w:val="20"/>
          <w:szCs w:val="20"/>
        </w:rPr>
        <w:t xml:space="preserve"> timescale</w:t>
      </w:r>
      <w:r w:rsidR="0069052B">
        <w:rPr>
          <w:sz w:val="20"/>
          <w:szCs w:val="20"/>
        </w:rPr>
        <w:t xml:space="preserve"> for provision of a postnatal check: most agreed that within 6 weeks was too short a timeframe and that in practice it is more likely to be longer for some patients. </w:t>
      </w:r>
      <w:r w:rsidR="00D036E9">
        <w:rPr>
          <w:sz w:val="20"/>
          <w:szCs w:val="20"/>
        </w:rPr>
        <w:t xml:space="preserve"> </w:t>
      </w:r>
      <w:r w:rsidR="00C5400D">
        <w:rPr>
          <w:sz w:val="20"/>
          <w:szCs w:val="20"/>
        </w:rPr>
        <w:t>It was highlighted that the reviews are often built around giving the first immunisation jabs to the baby</w:t>
      </w:r>
      <w:r w:rsidR="00153EBE">
        <w:rPr>
          <w:sz w:val="20"/>
          <w:szCs w:val="20"/>
        </w:rPr>
        <w:t>, or providing advice in advance of the immunisation appointment,</w:t>
      </w:r>
      <w:r w:rsidR="00C5400D">
        <w:rPr>
          <w:sz w:val="20"/>
          <w:szCs w:val="20"/>
        </w:rPr>
        <w:t xml:space="preserve"> and so the timeframe should take this into consideration</w:t>
      </w:r>
      <w:r w:rsidR="00376F02">
        <w:rPr>
          <w:sz w:val="20"/>
          <w:szCs w:val="20"/>
        </w:rPr>
        <w:t>.</w:t>
      </w:r>
      <w:r w:rsidR="00376F02" w:rsidRPr="00376F02">
        <w:rPr>
          <w:sz w:val="20"/>
          <w:szCs w:val="20"/>
        </w:rPr>
        <w:t xml:space="preserve"> </w:t>
      </w:r>
      <w:r w:rsidR="00376F02">
        <w:rPr>
          <w:sz w:val="20"/>
          <w:szCs w:val="20"/>
        </w:rPr>
        <w:t>It was agreed that a timeframe of 6 to 12 weeks be used as it would then align</w:t>
      </w:r>
      <w:r w:rsidR="004932B6">
        <w:rPr>
          <w:sz w:val="20"/>
          <w:szCs w:val="20"/>
        </w:rPr>
        <w:t xml:space="preserve"> with</w:t>
      </w:r>
      <w:r w:rsidR="00376F02">
        <w:rPr>
          <w:sz w:val="20"/>
          <w:szCs w:val="20"/>
        </w:rPr>
        <w:t xml:space="preserve"> the NICE postnatal care quality standard, with the </w:t>
      </w:r>
      <w:r w:rsidR="0069052B">
        <w:rPr>
          <w:sz w:val="20"/>
          <w:szCs w:val="20"/>
        </w:rPr>
        <w:t xml:space="preserve">validity of this as a pragmatic </w:t>
      </w:r>
      <w:r w:rsidR="00414D3D">
        <w:rPr>
          <w:sz w:val="20"/>
          <w:szCs w:val="20"/>
        </w:rPr>
        <w:t>solution</w:t>
      </w:r>
      <w:r w:rsidR="00376F02">
        <w:rPr>
          <w:sz w:val="20"/>
          <w:szCs w:val="20"/>
        </w:rPr>
        <w:t xml:space="preserve"> to be </w:t>
      </w:r>
      <w:r w:rsidR="00C134B4">
        <w:rPr>
          <w:sz w:val="20"/>
          <w:szCs w:val="20"/>
        </w:rPr>
        <w:t xml:space="preserve">queried during testing. </w:t>
      </w:r>
    </w:p>
    <w:p w14:paraId="7EB17F5B" w14:textId="2778A51F" w:rsidR="00657CE2" w:rsidRDefault="00C134B4" w:rsidP="00F80DAB">
      <w:pPr>
        <w:pStyle w:val="Paragraphnonumbers"/>
        <w:spacing w:line="240" w:lineRule="auto"/>
        <w:rPr>
          <w:b/>
          <w:bCs/>
          <w:sz w:val="20"/>
          <w:szCs w:val="20"/>
        </w:rPr>
      </w:pPr>
      <w:r>
        <w:rPr>
          <w:b/>
          <w:bCs/>
          <w:sz w:val="20"/>
          <w:szCs w:val="20"/>
        </w:rPr>
        <w:t xml:space="preserve">ACTION: One indicator on postnatal checks for all women at 6-12 weeks to progress for </w:t>
      </w:r>
      <w:r w:rsidR="008E3A58" w:rsidRPr="008E3A58">
        <w:rPr>
          <w:b/>
          <w:bCs/>
          <w:sz w:val="20"/>
          <w:szCs w:val="20"/>
        </w:rPr>
        <w:t xml:space="preserve">testing and consultation </w:t>
      </w:r>
      <w:r w:rsidR="008E3A58">
        <w:rPr>
          <w:b/>
          <w:bCs/>
          <w:sz w:val="20"/>
          <w:szCs w:val="20"/>
        </w:rPr>
        <w:t xml:space="preserve">as suitable for use in the </w:t>
      </w:r>
      <w:r w:rsidR="00414D3D">
        <w:rPr>
          <w:b/>
          <w:bCs/>
          <w:sz w:val="20"/>
          <w:szCs w:val="20"/>
        </w:rPr>
        <w:t>QOF</w:t>
      </w:r>
      <w:r w:rsidR="00414D3D" w:rsidDel="008E3A58">
        <w:rPr>
          <w:b/>
          <w:bCs/>
          <w:sz w:val="20"/>
          <w:szCs w:val="20"/>
        </w:rPr>
        <w:t>.</w:t>
      </w:r>
    </w:p>
    <w:p w14:paraId="725379AB" w14:textId="2BF65A76" w:rsidR="00657CE2" w:rsidRDefault="00C134B4" w:rsidP="00F80DAB">
      <w:pPr>
        <w:pStyle w:val="Paragraphnonumbers"/>
        <w:spacing w:line="240" w:lineRule="auto"/>
        <w:rPr>
          <w:b/>
          <w:bCs/>
          <w:sz w:val="20"/>
          <w:szCs w:val="20"/>
        </w:rPr>
      </w:pPr>
      <w:r>
        <w:rPr>
          <w:b/>
          <w:bCs/>
          <w:sz w:val="20"/>
          <w:szCs w:val="20"/>
        </w:rPr>
        <w:t xml:space="preserve">ACTION: One </w:t>
      </w:r>
      <w:r w:rsidR="003D655E">
        <w:rPr>
          <w:b/>
          <w:bCs/>
          <w:sz w:val="20"/>
          <w:szCs w:val="20"/>
        </w:rPr>
        <w:t>system</w:t>
      </w:r>
      <w:r>
        <w:rPr>
          <w:b/>
          <w:bCs/>
          <w:sz w:val="20"/>
          <w:szCs w:val="20"/>
        </w:rPr>
        <w:t xml:space="preserve"> level indicator on postnatal checks for </w:t>
      </w:r>
      <w:r w:rsidR="00F36E08">
        <w:rPr>
          <w:b/>
          <w:bCs/>
          <w:sz w:val="20"/>
          <w:szCs w:val="20"/>
        </w:rPr>
        <w:t>high-risk</w:t>
      </w:r>
      <w:r>
        <w:rPr>
          <w:b/>
          <w:bCs/>
          <w:sz w:val="20"/>
          <w:szCs w:val="20"/>
        </w:rPr>
        <w:t xml:space="preserve"> women at 6-12 </w:t>
      </w:r>
      <w:r w:rsidR="00F36E08">
        <w:rPr>
          <w:b/>
          <w:bCs/>
          <w:sz w:val="20"/>
          <w:szCs w:val="20"/>
        </w:rPr>
        <w:t>weeks to</w:t>
      </w:r>
      <w:r>
        <w:rPr>
          <w:b/>
          <w:bCs/>
          <w:sz w:val="20"/>
          <w:szCs w:val="20"/>
        </w:rPr>
        <w:t xml:space="preserve"> progress for piloting</w:t>
      </w:r>
      <w:r w:rsidR="00153EBE">
        <w:rPr>
          <w:b/>
          <w:bCs/>
          <w:sz w:val="20"/>
          <w:szCs w:val="20"/>
        </w:rPr>
        <w:t xml:space="preserve"> to fully explore the detail of the timescales.</w:t>
      </w:r>
    </w:p>
    <w:p w14:paraId="03EF22C8" w14:textId="1FC248E9" w:rsidR="00C134B4" w:rsidRPr="00D373B4" w:rsidRDefault="00C134B4" w:rsidP="00C134B4">
      <w:pPr>
        <w:pStyle w:val="Paragraphnonumbers"/>
        <w:spacing w:line="240" w:lineRule="auto"/>
        <w:rPr>
          <w:sz w:val="20"/>
          <w:szCs w:val="20"/>
          <w:u w:val="single"/>
        </w:rPr>
      </w:pPr>
      <w:r>
        <w:rPr>
          <w:sz w:val="20"/>
          <w:szCs w:val="20"/>
          <w:u w:val="single"/>
        </w:rPr>
        <w:t>Smoking</w:t>
      </w:r>
    </w:p>
    <w:p w14:paraId="7C5163C2" w14:textId="77777777" w:rsidR="00C134B4" w:rsidRPr="00C134B4" w:rsidRDefault="00C134B4" w:rsidP="00C134B4">
      <w:pPr>
        <w:pStyle w:val="Paragraphnonumbers"/>
        <w:spacing w:line="240" w:lineRule="auto"/>
        <w:rPr>
          <w:i/>
          <w:iCs/>
          <w:sz w:val="20"/>
          <w:szCs w:val="20"/>
        </w:rPr>
      </w:pPr>
      <w:r w:rsidRPr="00C134B4">
        <w:rPr>
          <w:i/>
          <w:iCs/>
          <w:sz w:val="20"/>
          <w:szCs w:val="20"/>
        </w:rPr>
        <w:t>The percentage of patients with schizophrenia, bipolar affective disorder or other psychoses who have previously been recorded as current smokers (within the past 5 years) and whose latest smoking status taken in the preceding 12 months records them as a non-smoker or an ex-smoker.</w:t>
      </w:r>
    </w:p>
    <w:p w14:paraId="4045F3FC" w14:textId="3656798F" w:rsidR="00C134B4" w:rsidRDefault="00C134B4" w:rsidP="00C134B4">
      <w:pPr>
        <w:pStyle w:val="Paragraphnonumbers"/>
        <w:spacing w:line="240" w:lineRule="auto"/>
        <w:rPr>
          <w:sz w:val="20"/>
          <w:szCs w:val="20"/>
        </w:rPr>
      </w:pPr>
      <w:r>
        <w:rPr>
          <w:sz w:val="20"/>
          <w:szCs w:val="20"/>
        </w:rPr>
        <w:lastRenderedPageBreak/>
        <w:t>K</w:t>
      </w:r>
      <w:r w:rsidR="00DF39D1">
        <w:rPr>
          <w:sz w:val="20"/>
          <w:szCs w:val="20"/>
        </w:rPr>
        <w:t>T</w:t>
      </w:r>
      <w:r>
        <w:rPr>
          <w:sz w:val="20"/>
          <w:szCs w:val="20"/>
        </w:rPr>
        <w:t xml:space="preserve"> noted the following evidence and data for this proposed indicator:</w:t>
      </w:r>
    </w:p>
    <w:p w14:paraId="18E4620E" w14:textId="593E8165" w:rsidR="00C134B4" w:rsidRDefault="00C134B4" w:rsidP="00C134B4">
      <w:pPr>
        <w:pStyle w:val="Paragraphnonumbers"/>
        <w:spacing w:line="240" w:lineRule="auto"/>
        <w:rPr>
          <w:sz w:val="20"/>
          <w:szCs w:val="20"/>
        </w:rPr>
      </w:pPr>
      <w:r w:rsidRPr="00C134B4">
        <w:rPr>
          <w:sz w:val="20"/>
          <w:szCs w:val="20"/>
        </w:rPr>
        <w:t xml:space="preserve">Noting the existing NICE menu indicators relating to smoking in those with SMI (NM124 and NM125), the committee </w:t>
      </w:r>
      <w:r w:rsidR="00F36E08">
        <w:rPr>
          <w:sz w:val="20"/>
          <w:szCs w:val="20"/>
        </w:rPr>
        <w:t>was</w:t>
      </w:r>
      <w:r w:rsidRPr="00C134B4">
        <w:rPr>
          <w:sz w:val="20"/>
          <w:szCs w:val="20"/>
        </w:rPr>
        <w:t xml:space="preserve"> asked to consider whether this indicator should progress to consultation and if further testing or piloting is required.</w:t>
      </w:r>
    </w:p>
    <w:p w14:paraId="5EFDDADE" w14:textId="335D6C4B" w:rsidR="00F36E08" w:rsidRDefault="00F36E08" w:rsidP="00C134B4">
      <w:pPr>
        <w:pStyle w:val="Paragraphnonumbers"/>
        <w:spacing w:line="240" w:lineRule="auto"/>
        <w:rPr>
          <w:sz w:val="20"/>
          <w:szCs w:val="20"/>
        </w:rPr>
      </w:pPr>
      <w:r>
        <w:rPr>
          <w:sz w:val="20"/>
          <w:szCs w:val="20"/>
        </w:rPr>
        <w:t xml:space="preserve">The committee </w:t>
      </w:r>
      <w:r w:rsidR="0069052B">
        <w:rPr>
          <w:sz w:val="20"/>
          <w:szCs w:val="20"/>
        </w:rPr>
        <w:t xml:space="preserve">queried the extent to which successful smoking cessation was directly attributable </w:t>
      </w:r>
      <w:r w:rsidR="00414D3D">
        <w:rPr>
          <w:sz w:val="20"/>
          <w:szCs w:val="20"/>
        </w:rPr>
        <w:t>to GPs</w:t>
      </w:r>
      <w:r w:rsidR="00DF39D1">
        <w:rPr>
          <w:sz w:val="20"/>
          <w:szCs w:val="20"/>
        </w:rPr>
        <w:t xml:space="preserve">. It was noted that this is further exacerbated by stock shortages of </w:t>
      </w:r>
      <w:r w:rsidR="008E3A58">
        <w:rPr>
          <w:sz w:val="20"/>
          <w:szCs w:val="20"/>
        </w:rPr>
        <w:t>pharmacological therapies and decommissioning of stop smoking services</w:t>
      </w:r>
      <w:r w:rsidR="00DF39D1">
        <w:rPr>
          <w:sz w:val="20"/>
          <w:szCs w:val="20"/>
        </w:rPr>
        <w:t xml:space="preserve">. </w:t>
      </w:r>
      <w:r w:rsidR="00EC6757">
        <w:rPr>
          <w:sz w:val="20"/>
          <w:szCs w:val="20"/>
        </w:rPr>
        <w:t xml:space="preserve"> </w:t>
      </w:r>
    </w:p>
    <w:p w14:paraId="7A730F0A" w14:textId="014116FF" w:rsidR="00EC6757" w:rsidRPr="00C134B4" w:rsidRDefault="00EC6757" w:rsidP="00C134B4">
      <w:pPr>
        <w:pStyle w:val="Paragraphnonumbers"/>
        <w:spacing w:line="240" w:lineRule="auto"/>
        <w:rPr>
          <w:b/>
          <w:bCs/>
          <w:sz w:val="20"/>
          <w:szCs w:val="20"/>
        </w:rPr>
      </w:pPr>
      <w:r w:rsidRPr="00EC6757">
        <w:rPr>
          <w:b/>
          <w:bCs/>
          <w:sz w:val="20"/>
          <w:szCs w:val="20"/>
        </w:rPr>
        <w:t>ACTION: NICE team to progress this indicator for consultation at system level.</w:t>
      </w:r>
    </w:p>
    <w:p w14:paraId="539BF2C4" w14:textId="33314758" w:rsidR="00FF4189" w:rsidRDefault="00FF4189" w:rsidP="00FF4189">
      <w:pPr>
        <w:pStyle w:val="Paragraphnonumbers"/>
        <w:spacing w:line="240" w:lineRule="auto"/>
        <w:rPr>
          <w:sz w:val="20"/>
          <w:szCs w:val="20"/>
          <w:u w:val="single"/>
        </w:rPr>
      </w:pPr>
      <w:r>
        <w:rPr>
          <w:sz w:val="20"/>
          <w:szCs w:val="20"/>
          <w:u w:val="single"/>
        </w:rPr>
        <w:t>Obesity</w:t>
      </w:r>
    </w:p>
    <w:p w14:paraId="5AABB68C" w14:textId="74F5E618" w:rsidR="00FF4189" w:rsidRPr="00FF4189" w:rsidRDefault="00FF4189" w:rsidP="00FF4189">
      <w:pPr>
        <w:pStyle w:val="Paragraphnonumbers"/>
        <w:spacing w:line="240" w:lineRule="auto"/>
        <w:rPr>
          <w:sz w:val="20"/>
          <w:szCs w:val="20"/>
        </w:rPr>
      </w:pPr>
      <w:r>
        <w:rPr>
          <w:sz w:val="20"/>
          <w:szCs w:val="20"/>
        </w:rPr>
        <w:t xml:space="preserve">KT presented two potential </w:t>
      </w:r>
      <w:r w:rsidR="00C6550B">
        <w:rPr>
          <w:sz w:val="20"/>
          <w:szCs w:val="20"/>
        </w:rPr>
        <w:t xml:space="preserve">general practice </w:t>
      </w:r>
      <w:r>
        <w:rPr>
          <w:sz w:val="20"/>
          <w:szCs w:val="20"/>
        </w:rPr>
        <w:t>indicators</w:t>
      </w:r>
      <w:r w:rsidR="00C6550B">
        <w:rPr>
          <w:sz w:val="20"/>
          <w:szCs w:val="20"/>
        </w:rPr>
        <w:t xml:space="preserve"> on management of CVD risk in overweight or obese people</w:t>
      </w:r>
      <w:r>
        <w:rPr>
          <w:sz w:val="20"/>
          <w:szCs w:val="20"/>
        </w:rPr>
        <w:t xml:space="preserve"> </w:t>
      </w:r>
      <w:r w:rsidR="00C6550B">
        <w:rPr>
          <w:sz w:val="20"/>
          <w:szCs w:val="20"/>
        </w:rPr>
        <w:t>to the committee:</w:t>
      </w:r>
    </w:p>
    <w:p w14:paraId="423E9E7E" w14:textId="77777777" w:rsidR="00C6550B" w:rsidRDefault="00C6550B" w:rsidP="009C2197">
      <w:pPr>
        <w:pStyle w:val="Paragraphnonumbers"/>
        <w:numPr>
          <w:ilvl w:val="0"/>
          <w:numId w:val="36"/>
        </w:numPr>
        <w:spacing w:line="240" w:lineRule="auto"/>
        <w:rPr>
          <w:i/>
          <w:iCs/>
          <w:sz w:val="20"/>
          <w:szCs w:val="20"/>
        </w:rPr>
      </w:pPr>
      <w:r w:rsidRPr="00C6550B">
        <w:rPr>
          <w:i/>
          <w:iCs/>
          <w:sz w:val="20"/>
          <w:szCs w:val="20"/>
        </w:rPr>
        <w:t>The percentage of patients aged 18 years and over whose latest BMI measurement taken within the previous 12 months was 30 kg/m</w:t>
      </w:r>
      <w:r w:rsidRPr="00C6550B">
        <w:rPr>
          <w:i/>
          <w:iCs/>
          <w:sz w:val="20"/>
          <w:szCs w:val="20"/>
          <w:vertAlign w:val="superscript"/>
        </w:rPr>
        <w:t>2</w:t>
      </w:r>
      <w:r w:rsidRPr="00C6550B">
        <w:rPr>
          <w:i/>
          <w:iCs/>
          <w:sz w:val="20"/>
          <w:szCs w:val="20"/>
        </w:rPr>
        <w:t xml:space="preserve"> or more (appropriately adjusted for ethnicity) with a record of physical health checks.</w:t>
      </w:r>
    </w:p>
    <w:p w14:paraId="0166B416" w14:textId="29C98B58" w:rsidR="00C6550B" w:rsidRPr="00C6550B" w:rsidRDefault="00C6550B" w:rsidP="00414D3D">
      <w:pPr>
        <w:pStyle w:val="Paragraphnonumbers"/>
        <w:numPr>
          <w:ilvl w:val="0"/>
          <w:numId w:val="36"/>
        </w:numPr>
        <w:spacing w:line="240" w:lineRule="auto"/>
        <w:rPr>
          <w:sz w:val="20"/>
          <w:szCs w:val="20"/>
        </w:rPr>
      </w:pPr>
      <w:r w:rsidRPr="00C6550B">
        <w:rPr>
          <w:i/>
          <w:iCs/>
          <w:sz w:val="20"/>
          <w:szCs w:val="20"/>
        </w:rPr>
        <w:t>The percentage of patients aged 18-39 years with a BMI between 25 and 30 kg/m</w:t>
      </w:r>
      <w:r w:rsidRPr="00C6550B">
        <w:rPr>
          <w:i/>
          <w:iCs/>
          <w:sz w:val="20"/>
          <w:szCs w:val="20"/>
          <w:vertAlign w:val="superscript"/>
        </w:rPr>
        <w:t>2</w:t>
      </w:r>
      <w:r w:rsidRPr="00C6550B">
        <w:rPr>
          <w:i/>
          <w:iCs/>
          <w:sz w:val="20"/>
          <w:szCs w:val="20"/>
        </w:rPr>
        <w:t xml:space="preserve"> in the preceding 12 months who have been given appropriate weight management advice within 93 days of the BMI being calculated.</w:t>
      </w:r>
    </w:p>
    <w:p w14:paraId="115F8BB3" w14:textId="10D849C8" w:rsidR="00C6550B" w:rsidRDefault="00C6550B" w:rsidP="00C6550B">
      <w:pPr>
        <w:pStyle w:val="Paragraphnonumbers"/>
        <w:spacing w:line="240" w:lineRule="auto"/>
        <w:rPr>
          <w:sz w:val="20"/>
          <w:szCs w:val="20"/>
        </w:rPr>
      </w:pPr>
      <w:r>
        <w:rPr>
          <w:sz w:val="20"/>
          <w:szCs w:val="20"/>
        </w:rPr>
        <w:t>It was noted that t</w:t>
      </w:r>
      <w:r w:rsidRPr="00C6550B">
        <w:rPr>
          <w:sz w:val="20"/>
          <w:szCs w:val="20"/>
        </w:rPr>
        <w:t>hose aged 16 to 34 years who are overweight may have no reason to access health care, suggesting missed opportunities for early intervention to prevent future CVD.</w:t>
      </w:r>
      <w:r>
        <w:rPr>
          <w:sz w:val="20"/>
          <w:szCs w:val="20"/>
        </w:rPr>
        <w:t xml:space="preserve"> </w:t>
      </w:r>
      <w:r w:rsidRPr="00C6550B">
        <w:rPr>
          <w:sz w:val="20"/>
          <w:szCs w:val="20"/>
        </w:rPr>
        <w:t xml:space="preserve">The committee </w:t>
      </w:r>
      <w:r>
        <w:rPr>
          <w:sz w:val="20"/>
          <w:szCs w:val="20"/>
        </w:rPr>
        <w:t>was</w:t>
      </w:r>
      <w:r w:rsidRPr="00C6550B">
        <w:rPr>
          <w:sz w:val="20"/>
          <w:szCs w:val="20"/>
        </w:rPr>
        <w:t xml:space="preserve"> asked to consider whether these indicators should progress to consultation and if further testing or piloting is required.</w:t>
      </w:r>
    </w:p>
    <w:p w14:paraId="51CBE6BD" w14:textId="0C37C114" w:rsidR="00C6550B" w:rsidRDefault="009C2197" w:rsidP="00C6550B">
      <w:pPr>
        <w:pStyle w:val="Paragraphnonumbers"/>
        <w:spacing w:line="240" w:lineRule="auto"/>
        <w:rPr>
          <w:sz w:val="20"/>
          <w:szCs w:val="20"/>
        </w:rPr>
      </w:pPr>
      <w:r>
        <w:rPr>
          <w:sz w:val="20"/>
          <w:szCs w:val="20"/>
        </w:rPr>
        <w:t>It was queried as to whether the indicators should measure separately those from deprived areas</w:t>
      </w:r>
      <w:r w:rsidR="005F231E">
        <w:rPr>
          <w:sz w:val="20"/>
          <w:szCs w:val="20"/>
        </w:rPr>
        <w:t xml:space="preserve"> or those in increased risk groups</w:t>
      </w:r>
      <w:r>
        <w:rPr>
          <w:sz w:val="20"/>
          <w:szCs w:val="20"/>
        </w:rPr>
        <w:t xml:space="preserve">. KT noted that obesity is linked to deprivation so practices in more deprived areas will have more obese patients so they </w:t>
      </w:r>
      <w:r w:rsidR="005F231E">
        <w:rPr>
          <w:sz w:val="20"/>
          <w:szCs w:val="20"/>
        </w:rPr>
        <w:t>may find he indicators easier to achieve.</w:t>
      </w:r>
    </w:p>
    <w:p w14:paraId="550BE431" w14:textId="1D2EB64F" w:rsidR="008E3A58" w:rsidRPr="00414D3D" w:rsidRDefault="008E3A58" w:rsidP="00C6550B">
      <w:pPr>
        <w:pStyle w:val="Paragraphnonumbers"/>
        <w:spacing w:line="240" w:lineRule="auto"/>
        <w:rPr>
          <w:b/>
          <w:bCs/>
          <w:sz w:val="20"/>
          <w:szCs w:val="20"/>
        </w:rPr>
      </w:pPr>
      <w:r w:rsidRPr="00414D3D">
        <w:rPr>
          <w:b/>
          <w:bCs/>
          <w:sz w:val="20"/>
          <w:szCs w:val="20"/>
        </w:rPr>
        <w:t xml:space="preserve">ACTION: NICE team to progress </w:t>
      </w:r>
      <w:r>
        <w:rPr>
          <w:b/>
          <w:bCs/>
          <w:sz w:val="20"/>
          <w:szCs w:val="20"/>
        </w:rPr>
        <w:t>both</w:t>
      </w:r>
      <w:r w:rsidRPr="00414D3D">
        <w:rPr>
          <w:b/>
          <w:bCs/>
          <w:sz w:val="20"/>
          <w:szCs w:val="20"/>
        </w:rPr>
        <w:t xml:space="preserve"> indicator</w:t>
      </w:r>
      <w:r>
        <w:rPr>
          <w:b/>
          <w:bCs/>
          <w:sz w:val="20"/>
          <w:szCs w:val="20"/>
        </w:rPr>
        <w:t>s</w:t>
      </w:r>
      <w:r w:rsidRPr="00414D3D">
        <w:rPr>
          <w:b/>
          <w:bCs/>
          <w:sz w:val="20"/>
          <w:szCs w:val="20"/>
        </w:rPr>
        <w:t xml:space="preserve"> for </w:t>
      </w:r>
      <w:r>
        <w:rPr>
          <w:b/>
          <w:bCs/>
          <w:sz w:val="20"/>
          <w:szCs w:val="20"/>
        </w:rPr>
        <w:t xml:space="preserve">testing and </w:t>
      </w:r>
      <w:r w:rsidRPr="00414D3D">
        <w:rPr>
          <w:b/>
          <w:bCs/>
          <w:sz w:val="20"/>
          <w:szCs w:val="20"/>
        </w:rPr>
        <w:t xml:space="preserve">consultation at </w:t>
      </w:r>
      <w:r>
        <w:rPr>
          <w:b/>
          <w:bCs/>
          <w:sz w:val="20"/>
          <w:szCs w:val="20"/>
        </w:rPr>
        <w:t>general practice level</w:t>
      </w:r>
      <w:r w:rsidRPr="00414D3D">
        <w:rPr>
          <w:b/>
          <w:bCs/>
          <w:sz w:val="20"/>
          <w:szCs w:val="20"/>
        </w:rPr>
        <w:t>.</w:t>
      </w:r>
    </w:p>
    <w:p w14:paraId="5302212E" w14:textId="19A3BDD9" w:rsidR="00C6550B" w:rsidRDefault="00C6550B" w:rsidP="00C6550B">
      <w:pPr>
        <w:pStyle w:val="Paragraphnonumbers"/>
        <w:spacing w:line="240" w:lineRule="auto"/>
        <w:rPr>
          <w:sz w:val="20"/>
          <w:szCs w:val="20"/>
        </w:rPr>
      </w:pPr>
      <w:r>
        <w:rPr>
          <w:sz w:val="20"/>
          <w:szCs w:val="20"/>
        </w:rPr>
        <w:t>KT presented two potential system level indicators on management of patients with severe obesity to the committee:</w:t>
      </w:r>
    </w:p>
    <w:p w14:paraId="3EC8483E" w14:textId="77777777" w:rsidR="00C6550B" w:rsidRPr="00C6550B" w:rsidRDefault="00C6550B" w:rsidP="00DC743C">
      <w:pPr>
        <w:pStyle w:val="Paragraphnonumbers"/>
        <w:numPr>
          <w:ilvl w:val="0"/>
          <w:numId w:val="36"/>
        </w:numPr>
        <w:spacing w:line="240" w:lineRule="auto"/>
        <w:rPr>
          <w:i/>
          <w:iCs/>
          <w:sz w:val="20"/>
          <w:szCs w:val="20"/>
        </w:rPr>
      </w:pPr>
      <w:r w:rsidRPr="00C6550B">
        <w:rPr>
          <w:i/>
          <w:iCs/>
          <w:sz w:val="20"/>
          <w:szCs w:val="20"/>
        </w:rPr>
        <w:t>The percentage of patients whose latest BMI measurement taken within the previous 12 months is 40kg/m2 or more, with a record of an offer of referral to bariatric surgery assessment.</w:t>
      </w:r>
    </w:p>
    <w:p w14:paraId="24884EB0" w14:textId="77777777" w:rsidR="00C6550B" w:rsidRDefault="00C6550B" w:rsidP="00DC743C">
      <w:pPr>
        <w:pStyle w:val="Paragraphnonumbers"/>
        <w:numPr>
          <w:ilvl w:val="0"/>
          <w:numId w:val="36"/>
        </w:numPr>
        <w:spacing w:line="240" w:lineRule="auto"/>
        <w:rPr>
          <w:i/>
          <w:iCs/>
          <w:sz w:val="20"/>
          <w:szCs w:val="20"/>
        </w:rPr>
      </w:pPr>
      <w:r w:rsidRPr="00C6550B">
        <w:rPr>
          <w:i/>
          <w:iCs/>
          <w:sz w:val="20"/>
          <w:szCs w:val="20"/>
        </w:rPr>
        <w:t>The percentage of patients discharged from bariatric surgery service follow-up within 1 and 2 years previously, with a record of nutritional status monitoring in the previous 12 months.</w:t>
      </w:r>
    </w:p>
    <w:p w14:paraId="07BE5ABE" w14:textId="5B7A8407" w:rsidR="00DC743C" w:rsidRPr="00212C7D" w:rsidRDefault="00DC743C" w:rsidP="00DC743C">
      <w:pPr>
        <w:pStyle w:val="Paragraphnonumbers"/>
        <w:spacing w:line="240" w:lineRule="auto"/>
        <w:rPr>
          <w:sz w:val="20"/>
          <w:szCs w:val="20"/>
        </w:rPr>
      </w:pPr>
      <w:r w:rsidRPr="00212C7D">
        <w:rPr>
          <w:sz w:val="20"/>
          <w:szCs w:val="20"/>
        </w:rPr>
        <w:t>The committee was asked to consider whether these indicators should progress to consultation and if further testing or piloting is required.</w:t>
      </w:r>
    </w:p>
    <w:p w14:paraId="458F49A1" w14:textId="3284ACE2" w:rsidR="00DC743C" w:rsidRDefault="00EF7B08" w:rsidP="00DC743C">
      <w:pPr>
        <w:pStyle w:val="Paragraphnonumbers"/>
        <w:spacing w:line="240" w:lineRule="auto"/>
        <w:rPr>
          <w:sz w:val="20"/>
          <w:szCs w:val="20"/>
        </w:rPr>
      </w:pPr>
      <w:r>
        <w:rPr>
          <w:sz w:val="20"/>
          <w:szCs w:val="20"/>
        </w:rPr>
        <w:t xml:space="preserve">It was noted that indicator 4 </w:t>
      </w:r>
      <w:r w:rsidR="008E3A58">
        <w:rPr>
          <w:sz w:val="20"/>
          <w:szCs w:val="20"/>
        </w:rPr>
        <w:t>c</w:t>
      </w:r>
      <w:r>
        <w:rPr>
          <w:sz w:val="20"/>
          <w:szCs w:val="20"/>
        </w:rPr>
        <w:t xml:space="preserve">ould </w:t>
      </w:r>
      <w:r w:rsidR="008E3A58">
        <w:rPr>
          <w:sz w:val="20"/>
          <w:szCs w:val="20"/>
        </w:rPr>
        <w:t>instead focus on</w:t>
      </w:r>
      <w:r>
        <w:rPr>
          <w:sz w:val="20"/>
          <w:szCs w:val="20"/>
        </w:rPr>
        <w:t xml:space="preserve"> annual review for anyone with a </w:t>
      </w:r>
      <w:r w:rsidR="008E3A58">
        <w:rPr>
          <w:sz w:val="20"/>
          <w:szCs w:val="20"/>
        </w:rPr>
        <w:t xml:space="preserve">previous </w:t>
      </w:r>
      <w:r>
        <w:rPr>
          <w:sz w:val="20"/>
          <w:szCs w:val="20"/>
        </w:rPr>
        <w:t>record of bariatric surgery</w:t>
      </w:r>
      <w:r w:rsidR="006D53E8">
        <w:rPr>
          <w:sz w:val="20"/>
          <w:szCs w:val="20"/>
        </w:rPr>
        <w:t>.</w:t>
      </w:r>
      <w:r>
        <w:rPr>
          <w:sz w:val="20"/>
          <w:szCs w:val="20"/>
        </w:rPr>
        <w:t xml:space="preserve"> It was highlighted that there should be a push to help monitor patients who have undergone bariatric surgery privately. It was noted that the ongoing monitoring for </w:t>
      </w:r>
      <w:r w:rsidR="00980D1B">
        <w:rPr>
          <w:sz w:val="20"/>
          <w:szCs w:val="20"/>
        </w:rPr>
        <w:t>the indicator 4</w:t>
      </w:r>
      <w:r>
        <w:rPr>
          <w:sz w:val="20"/>
          <w:szCs w:val="20"/>
        </w:rPr>
        <w:t xml:space="preserve"> patients after the surgery will </w:t>
      </w:r>
      <w:r w:rsidR="00980D1B">
        <w:rPr>
          <w:sz w:val="20"/>
          <w:szCs w:val="20"/>
        </w:rPr>
        <w:t xml:space="preserve">primarily </w:t>
      </w:r>
      <w:r>
        <w:rPr>
          <w:sz w:val="20"/>
          <w:szCs w:val="20"/>
        </w:rPr>
        <w:t>be conducted via practices and</w:t>
      </w:r>
      <w:r w:rsidR="00980D1B">
        <w:rPr>
          <w:sz w:val="20"/>
          <w:szCs w:val="20"/>
        </w:rPr>
        <w:t xml:space="preserve"> so</w:t>
      </w:r>
      <w:r>
        <w:rPr>
          <w:sz w:val="20"/>
          <w:szCs w:val="20"/>
        </w:rPr>
        <w:t xml:space="preserve"> it was queried if </w:t>
      </w:r>
      <w:r w:rsidR="00980D1B">
        <w:rPr>
          <w:sz w:val="20"/>
          <w:szCs w:val="20"/>
        </w:rPr>
        <w:t>it</w:t>
      </w:r>
      <w:r>
        <w:rPr>
          <w:sz w:val="20"/>
          <w:szCs w:val="20"/>
        </w:rPr>
        <w:t xml:space="preserve"> could instead be </w:t>
      </w:r>
      <w:r w:rsidR="008E3A58">
        <w:rPr>
          <w:sz w:val="20"/>
          <w:szCs w:val="20"/>
        </w:rPr>
        <w:t>general practice level</w:t>
      </w:r>
      <w:r>
        <w:rPr>
          <w:sz w:val="20"/>
          <w:szCs w:val="20"/>
        </w:rPr>
        <w:t xml:space="preserve"> indicator.</w:t>
      </w:r>
      <w:r w:rsidR="00980D1B">
        <w:rPr>
          <w:sz w:val="20"/>
          <w:szCs w:val="20"/>
        </w:rPr>
        <w:t xml:space="preserve"> It was highlighted that even if the data is coming from primary care the numbers would be too small for it </w:t>
      </w:r>
      <w:r w:rsidR="004932B6">
        <w:rPr>
          <w:sz w:val="20"/>
          <w:szCs w:val="20"/>
        </w:rPr>
        <w:t xml:space="preserve">to </w:t>
      </w:r>
      <w:r w:rsidR="00980D1B">
        <w:rPr>
          <w:sz w:val="20"/>
          <w:szCs w:val="20"/>
        </w:rPr>
        <w:t xml:space="preserve">be a primary care indicator. </w:t>
      </w:r>
      <w:r w:rsidR="00A24AFC">
        <w:rPr>
          <w:sz w:val="20"/>
          <w:szCs w:val="20"/>
        </w:rPr>
        <w:t xml:space="preserve">It was noted that a full list of nutrition monitoring codes would need to be established to support indicator 4. It was agreed that indicators 3 and 4 should progress for consultation. </w:t>
      </w:r>
    </w:p>
    <w:p w14:paraId="580A3E6A" w14:textId="04886F40" w:rsidR="00A24AFC" w:rsidRPr="00A24AFC" w:rsidRDefault="00A24AFC" w:rsidP="00DC743C">
      <w:pPr>
        <w:pStyle w:val="Paragraphnonumbers"/>
        <w:spacing w:line="240" w:lineRule="auto"/>
        <w:rPr>
          <w:b/>
          <w:bCs/>
          <w:sz w:val="20"/>
          <w:szCs w:val="20"/>
        </w:rPr>
      </w:pPr>
      <w:r w:rsidRPr="00A24AFC">
        <w:rPr>
          <w:b/>
          <w:bCs/>
          <w:sz w:val="20"/>
          <w:szCs w:val="20"/>
        </w:rPr>
        <w:lastRenderedPageBreak/>
        <w:t xml:space="preserve">ACTION: Indicator 3 to progress for </w:t>
      </w:r>
      <w:r w:rsidR="008E3A58" w:rsidRPr="008E3A58">
        <w:rPr>
          <w:b/>
          <w:bCs/>
          <w:sz w:val="20"/>
          <w:szCs w:val="20"/>
        </w:rPr>
        <w:t xml:space="preserve">testing and consultation </w:t>
      </w:r>
      <w:r w:rsidR="008E3A58">
        <w:rPr>
          <w:b/>
          <w:bCs/>
          <w:sz w:val="20"/>
          <w:szCs w:val="20"/>
        </w:rPr>
        <w:t>a</w:t>
      </w:r>
      <w:r w:rsidRPr="00A24AFC">
        <w:rPr>
          <w:b/>
          <w:bCs/>
          <w:sz w:val="20"/>
          <w:szCs w:val="20"/>
        </w:rPr>
        <w:t>s a system level indicator</w:t>
      </w:r>
      <w:r w:rsidR="006D53E8">
        <w:rPr>
          <w:b/>
          <w:bCs/>
          <w:sz w:val="20"/>
          <w:szCs w:val="20"/>
        </w:rPr>
        <w:t>.</w:t>
      </w:r>
    </w:p>
    <w:p w14:paraId="4BF1B1B2" w14:textId="56F18715" w:rsidR="00A24AFC" w:rsidRDefault="00A24AFC" w:rsidP="00DC743C">
      <w:pPr>
        <w:pStyle w:val="Paragraphnonumbers"/>
        <w:spacing w:line="240" w:lineRule="auto"/>
        <w:rPr>
          <w:b/>
          <w:bCs/>
          <w:sz w:val="20"/>
          <w:szCs w:val="20"/>
        </w:rPr>
      </w:pPr>
      <w:r w:rsidRPr="00A24AFC">
        <w:rPr>
          <w:b/>
          <w:bCs/>
          <w:sz w:val="20"/>
          <w:szCs w:val="20"/>
        </w:rPr>
        <w:t xml:space="preserve">ACTION: Indicator 4 to progress for </w:t>
      </w:r>
      <w:r w:rsidR="008E3A58" w:rsidRPr="008E3A58">
        <w:rPr>
          <w:b/>
          <w:bCs/>
          <w:sz w:val="20"/>
          <w:szCs w:val="20"/>
        </w:rPr>
        <w:t>testing and consultation as a system level indicator</w:t>
      </w:r>
      <w:r w:rsidR="006D53E8">
        <w:rPr>
          <w:b/>
          <w:bCs/>
          <w:sz w:val="20"/>
          <w:szCs w:val="20"/>
        </w:rPr>
        <w:t xml:space="preserve">. </w:t>
      </w:r>
      <w:r w:rsidR="008E3A58">
        <w:rPr>
          <w:b/>
          <w:bCs/>
          <w:sz w:val="20"/>
          <w:szCs w:val="20"/>
        </w:rPr>
        <w:t xml:space="preserve">NICE to explore whether an indicator focused on </w:t>
      </w:r>
      <w:r w:rsidR="008E3A58" w:rsidRPr="008E3A58">
        <w:rPr>
          <w:b/>
          <w:bCs/>
          <w:sz w:val="20"/>
          <w:szCs w:val="20"/>
        </w:rPr>
        <w:t>annual review for anyone with a previous record of bariatric surgery</w:t>
      </w:r>
      <w:r w:rsidR="008E3A58" w:rsidRPr="008E3A58" w:rsidDel="008E3A58">
        <w:rPr>
          <w:b/>
          <w:bCs/>
          <w:sz w:val="20"/>
          <w:szCs w:val="20"/>
        </w:rPr>
        <w:t xml:space="preserve"> </w:t>
      </w:r>
      <w:r w:rsidR="008E3A58">
        <w:rPr>
          <w:b/>
          <w:bCs/>
          <w:sz w:val="20"/>
          <w:szCs w:val="20"/>
        </w:rPr>
        <w:t xml:space="preserve">would be appropriate </w:t>
      </w:r>
      <w:r w:rsidRPr="00A24AFC">
        <w:rPr>
          <w:b/>
          <w:bCs/>
          <w:sz w:val="20"/>
          <w:szCs w:val="20"/>
        </w:rPr>
        <w:t>at general practice level.</w:t>
      </w:r>
    </w:p>
    <w:p w14:paraId="0B1F11A7" w14:textId="0F72FC5C" w:rsidR="006D53E8" w:rsidRDefault="006D53E8" w:rsidP="006D53E8">
      <w:pPr>
        <w:pStyle w:val="Paragraphnonumbers"/>
        <w:spacing w:line="240" w:lineRule="auto"/>
        <w:rPr>
          <w:sz w:val="20"/>
          <w:szCs w:val="20"/>
          <w:u w:val="single"/>
        </w:rPr>
      </w:pPr>
      <w:r>
        <w:rPr>
          <w:sz w:val="20"/>
          <w:szCs w:val="20"/>
          <w:u w:val="single"/>
        </w:rPr>
        <w:t>Scheduled reviews</w:t>
      </w:r>
    </w:p>
    <w:p w14:paraId="2FDEBCD2" w14:textId="47077A12" w:rsidR="00792FC8" w:rsidRPr="00792FC8" w:rsidRDefault="006D53E8" w:rsidP="00792FC8">
      <w:pPr>
        <w:pStyle w:val="Paragraphnonumbers"/>
        <w:spacing w:line="240" w:lineRule="auto"/>
        <w:rPr>
          <w:sz w:val="20"/>
          <w:szCs w:val="20"/>
        </w:rPr>
      </w:pPr>
      <w:r>
        <w:rPr>
          <w:sz w:val="20"/>
          <w:szCs w:val="20"/>
        </w:rPr>
        <w:t xml:space="preserve">KT presented </w:t>
      </w:r>
      <w:r w:rsidR="00792FC8">
        <w:rPr>
          <w:sz w:val="20"/>
          <w:szCs w:val="20"/>
        </w:rPr>
        <w:t>four existing general practice indicators with the proposal to stratify them to focus delivering annual reviews to high risk patients to reduce health inequalities (proposed wording edits highlighted in bold):</w:t>
      </w:r>
      <w:r w:rsidR="00792FC8">
        <w:rPr>
          <w:sz w:val="20"/>
          <w:szCs w:val="20"/>
        </w:rPr>
        <w:br/>
      </w:r>
      <w:r w:rsidR="00792FC8">
        <w:rPr>
          <w:sz w:val="20"/>
          <w:szCs w:val="20"/>
        </w:rPr>
        <w:br/>
      </w:r>
      <w:r w:rsidR="00792FC8" w:rsidRPr="00792FC8">
        <w:rPr>
          <w:sz w:val="20"/>
          <w:szCs w:val="20"/>
        </w:rPr>
        <w:t xml:space="preserve">Diabetes, based on NM13: </w:t>
      </w:r>
      <w:r w:rsidR="00792FC8" w:rsidRPr="00792FC8">
        <w:rPr>
          <w:i/>
          <w:iCs/>
          <w:sz w:val="20"/>
          <w:szCs w:val="20"/>
        </w:rPr>
        <w:t xml:space="preserve">The percentage of patients with diabetes </w:t>
      </w:r>
      <w:r w:rsidR="00792FC8" w:rsidRPr="00792FC8">
        <w:rPr>
          <w:b/>
          <w:bCs/>
          <w:i/>
          <w:iCs/>
          <w:sz w:val="20"/>
          <w:szCs w:val="20"/>
        </w:rPr>
        <w:t xml:space="preserve">classified as high-risk, or who are under 18 years </w:t>
      </w:r>
      <w:r w:rsidR="00792FC8" w:rsidRPr="00792FC8">
        <w:rPr>
          <w:i/>
          <w:iCs/>
          <w:sz w:val="20"/>
          <w:szCs w:val="20"/>
        </w:rPr>
        <w:t>with a record of a foot examination and risk classification: 1) low risk (normal sensation, palpable pulses), 2) increased risk (neuropathy or absent pulses), 3) high risk (neuropathy or absent pulses plus deformity or skin changes or previous ulcer) or 4) ulcerated foot within the preceding 15 months.</w:t>
      </w:r>
    </w:p>
    <w:p w14:paraId="0EFE875A" w14:textId="77777777" w:rsidR="00792FC8" w:rsidRPr="00792FC8" w:rsidRDefault="00792FC8" w:rsidP="00792FC8">
      <w:pPr>
        <w:pStyle w:val="Paragraphnonumbers"/>
        <w:spacing w:line="240" w:lineRule="auto"/>
        <w:rPr>
          <w:sz w:val="20"/>
          <w:szCs w:val="20"/>
        </w:rPr>
      </w:pPr>
      <w:r w:rsidRPr="00792FC8">
        <w:rPr>
          <w:sz w:val="20"/>
          <w:szCs w:val="20"/>
        </w:rPr>
        <w:t xml:space="preserve">Asthma, based on NM167: </w:t>
      </w:r>
      <w:r w:rsidRPr="00792FC8">
        <w:rPr>
          <w:i/>
          <w:iCs/>
          <w:sz w:val="20"/>
          <w:szCs w:val="20"/>
        </w:rPr>
        <w:t>The percentage of patients with asthma on the register</w:t>
      </w:r>
      <w:r w:rsidRPr="00792FC8">
        <w:rPr>
          <w:b/>
          <w:bCs/>
          <w:i/>
          <w:iCs/>
          <w:sz w:val="20"/>
          <w:szCs w:val="20"/>
        </w:rPr>
        <w:t xml:space="preserve"> classified as high-risk, or who are under 18 years</w:t>
      </w:r>
      <w:r w:rsidRPr="00792FC8">
        <w:rPr>
          <w:i/>
          <w:iCs/>
          <w:sz w:val="20"/>
          <w:szCs w:val="20"/>
        </w:rPr>
        <w:t>, who have had an asthma review in the preceding 12 months that includes an assessment of asthma control using a validated asthma control questionnaire (including assessment of short acting beta agonist use), a recording of the number of exacerbations and a written personalised action plan.</w:t>
      </w:r>
    </w:p>
    <w:p w14:paraId="559B50F9" w14:textId="77777777" w:rsidR="00792FC8" w:rsidRPr="00792FC8" w:rsidRDefault="00792FC8" w:rsidP="00792FC8">
      <w:pPr>
        <w:pStyle w:val="Paragraphnonumbers"/>
        <w:spacing w:line="240" w:lineRule="auto"/>
        <w:rPr>
          <w:sz w:val="20"/>
          <w:szCs w:val="20"/>
        </w:rPr>
      </w:pPr>
      <w:r w:rsidRPr="00792FC8">
        <w:rPr>
          <w:sz w:val="20"/>
          <w:szCs w:val="20"/>
        </w:rPr>
        <w:t xml:space="preserve">Heart Failure, based on NM174: </w:t>
      </w:r>
      <w:r w:rsidRPr="00792FC8">
        <w:rPr>
          <w:i/>
          <w:iCs/>
          <w:sz w:val="20"/>
          <w:szCs w:val="20"/>
        </w:rPr>
        <w:t>The percentage of patients with heart failure on the register</w:t>
      </w:r>
      <w:r w:rsidRPr="00792FC8">
        <w:rPr>
          <w:b/>
          <w:bCs/>
          <w:i/>
          <w:iCs/>
          <w:sz w:val="20"/>
          <w:szCs w:val="20"/>
        </w:rPr>
        <w:t xml:space="preserve"> classified as high-risk, or who are under 18 years</w:t>
      </w:r>
      <w:r w:rsidRPr="00792FC8">
        <w:rPr>
          <w:i/>
          <w:iCs/>
          <w:sz w:val="20"/>
          <w:szCs w:val="20"/>
        </w:rPr>
        <w:t>, who had a review in the preceding 12 months, including an assessment of functional capacity (using the New York Heart Association classification) and a review of medication.</w:t>
      </w:r>
    </w:p>
    <w:p w14:paraId="427E5306" w14:textId="77777777" w:rsidR="00792FC8" w:rsidRPr="00792FC8" w:rsidRDefault="00792FC8" w:rsidP="00792FC8">
      <w:pPr>
        <w:pStyle w:val="Paragraphnonumbers"/>
        <w:spacing w:line="240" w:lineRule="auto"/>
        <w:rPr>
          <w:sz w:val="20"/>
          <w:szCs w:val="20"/>
        </w:rPr>
      </w:pPr>
      <w:r w:rsidRPr="00792FC8">
        <w:rPr>
          <w:sz w:val="20"/>
          <w:szCs w:val="20"/>
        </w:rPr>
        <w:t xml:space="preserve">COPD, based on NM170: </w:t>
      </w:r>
      <w:r w:rsidRPr="00792FC8">
        <w:rPr>
          <w:i/>
          <w:iCs/>
          <w:sz w:val="20"/>
          <w:szCs w:val="20"/>
        </w:rPr>
        <w:t>The percentage of patients with COPD on the register</w:t>
      </w:r>
      <w:r w:rsidRPr="00792FC8">
        <w:rPr>
          <w:b/>
          <w:bCs/>
          <w:i/>
          <w:iCs/>
          <w:sz w:val="20"/>
          <w:szCs w:val="20"/>
        </w:rPr>
        <w:t xml:space="preserve"> classified as high-risk</w:t>
      </w:r>
      <w:r w:rsidRPr="00792FC8">
        <w:rPr>
          <w:i/>
          <w:iCs/>
          <w:sz w:val="20"/>
          <w:szCs w:val="20"/>
        </w:rPr>
        <w:t xml:space="preserve"> who have had a review in the preceding 12 months, including a record of the number of exacerbations and an assessment of breathlessness using the Medical Research Council dyspnoea scale.</w:t>
      </w:r>
    </w:p>
    <w:p w14:paraId="3E008C9A" w14:textId="13E3CA0C" w:rsidR="00792FC8" w:rsidRDefault="00792FC8" w:rsidP="00792FC8">
      <w:pPr>
        <w:pStyle w:val="Paragraphnonumbers"/>
        <w:spacing w:line="240" w:lineRule="auto"/>
        <w:rPr>
          <w:sz w:val="20"/>
          <w:szCs w:val="20"/>
        </w:rPr>
      </w:pPr>
      <w:r>
        <w:rPr>
          <w:sz w:val="20"/>
          <w:szCs w:val="20"/>
        </w:rPr>
        <w:t xml:space="preserve">The committee was asked to consider whether any or </w:t>
      </w:r>
      <w:proofErr w:type="gramStart"/>
      <w:r>
        <w:rPr>
          <w:sz w:val="20"/>
          <w:szCs w:val="20"/>
        </w:rPr>
        <w:t>all of</w:t>
      </w:r>
      <w:proofErr w:type="gramEnd"/>
      <w:r>
        <w:rPr>
          <w:sz w:val="20"/>
          <w:szCs w:val="20"/>
        </w:rPr>
        <w:t xml:space="preserve"> these indicators should progress to consultation and/or testing and piloting.</w:t>
      </w:r>
    </w:p>
    <w:p w14:paraId="177FF252" w14:textId="0D6F60D2" w:rsidR="00792FC8" w:rsidRDefault="00792FC8" w:rsidP="00792FC8">
      <w:pPr>
        <w:pStyle w:val="Paragraphnonumbers"/>
        <w:spacing w:line="240" w:lineRule="auto"/>
        <w:rPr>
          <w:sz w:val="20"/>
          <w:szCs w:val="20"/>
        </w:rPr>
      </w:pPr>
      <w:r>
        <w:rPr>
          <w:sz w:val="20"/>
          <w:szCs w:val="20"/>
        </w:rPr>
        <w:t xml:space="preserve">Members noted </w:t>
      </w:r>
      <w:r w:rsidR="006F1C70">
        <w:rPr>
          <w:sz w:val="20"/>
          <w:szCs w:val="20"/>
        </w:rPr>
        <w:t xml:space="preserve">that </w:t>
      </w:r>
      <w:r w:rsidR="008E3A58">
        <w:rPr>
          <w:sz w:val="20"/>
          <w:szCs w:val="20"/>
        </w:rPr>
        <w:t xml:space="preserve">focusing on people at higher risk </w:t>
      </w:r>
      <w:r w:rsidR="0023468F">
        <w:rPr>
          <w:sz w:val="20"/>
          <w:szCs w:val="20"/>
        </w:rPr>
        <w:t xml:space="preserve">could help reduce unnecessary attendance in some </w:t>
      </w:r>
      <w:r w:rsidR="00414D3D">
        <w:rPr>
          <w:sz w:val="20"/>
          <w:szCs w:val="20"/>
        </w:rPr>
        <w:t>patients.</w:t>
      </w:r>
      <w:r w:rsidR="0023468F">
        <w:rPr>
          <w:sz w:val="20"/>
          <w:szCs w:val="20"/>
        </w:rPr>
        <w:t xml:space="preserve"> </w:t>
      </w:r>
      <w:r w:rsidR="002467CD">
        <w:rPr>
          <w:sz w:val="20"/>
          <w:szCs w:val="20"/>
        </w:rPr>
        <w:t xml:space="preserve">It was noted that under 18s </w:t>
      </w:r>
      <w:r w:rsidR="0023468F">
        <w:rPr>
          <w:sz w:val="20"/>
          <w:szCs w:val="20"/>
        </w:rPr>
        <w:t xml:space="preserve">may </w:t>
      </w:r>
      <w:r w:rsidR="002467CD">
        <w:rPr>
          <w:sz w:val="20"/>
          <w:szCs w:val="20"/>
        </w:rPr>
        <w:t xml:space="preserve">automatically </w:t>
      </w:r>
      <w:r w:rsidR="0023468F">
        <w:rPr>
          <w:sz w:val="20"/>
          <w:szCs w:val="20"/>
        </w:rPr>
        <w:t xml:space="preserve">be considered </w:t>
      </w:r>
      <w:r w:rsidR="002467CD">
        <w:rPr>
          <w:sz w:val="20"/>
          <w:szCs w:val="20"/>
        </w:rPr>
        <w:t>high risk</w:t>
      </w:r>
      <w:r w:rsidR="0023468F">
        <w:rPr>
          <w:sz w:val="20"/>
          <w:szCs w:val="20"/>
        </w:rPr>
        <w:t>, they</w:t>
      </w:r>
      <w:r w:rsidR="002467CD">
        <w:rPr>
          <w:sz w:val="20"/>
          <w:szCs w:val="20"/>
        </w:rPr>
        <w:t xml:space="preserve"> should be excluded from the diabetes and heart failure indicators as they would already be under secondary or tertiary care.</w:t>
      </w:r>
      <w:r w:rsidR="00F256ED">
        <w:rPr>
          <w:sz w:val="20"/>
          <w:szCs w:val="20"/>
        </w:rPr>
        <w:t xml:space="preserve"> It was suggested that a logic model be created to identify the high-risk cohort</w:t>
      </w:r>
      <w:r w:rsidR="0023468F">
        <w:rPr>
          <w:sz w:val="20"/>
          <w:szCs w:val="20"/>
        </w:rPr>
        <w:t>s</w:t>
      </w:r>
      <w:r w:rsidR="00F256ED">
        <w:rPr>
          <w:sz w:val="20"/>
          <w:szCs w:val="20"/>
        </w:rPr>
        <w:t xml:space="preserve"> with further scoping taking place in a working group with members of the committee. It was suggested that the NICE guideline leads and suites for these individual topics be consulted as a starting point. It was agreed that scoping should be begin with one or two topics. </w:t>
      </w:r>
    </w:p>
    <w:p w14:paraId="29DAE9C2" w14:textId="6D9A8C5C" w:rsidR="00792FC8" w:rsidRPr="00792FC8" w:rsidRDefault="00F256ED" w:rsidP="00792FC8">
      <w:pPr>
        <w:pStyle w:val="Paragraphnonumbers"/>
        <w:spacing w:line="240" w:lineRule="auto"/>
        <w:rPr>
          <w:b/>
          <w:bCs/>
          <w:sz w:val="20"/>
          <w:szCs w:val="20"/>
        </w:rPr>
      </w:pPr>
      <w:r w:rsidRPr="00F256ED">
        <w:rPr>
          <w:b/>
          <w:bCs/>
          <w:sz w:val="20"/>
          <w:szCs w:val="20"/>
        </w:rPr>
        <w:t>ACTION: NICE team to select one or two indicators for scoping of a logic model to stratify high-risk patients</w:t>
      </w:r>
      <w:r w:rsidR="0023468F">
        <w:rPr>
          <w:b/>
          <w:bCs/>
          <w:sz w:val="20"/>
          <w:szCs w:val="20"/>
        </w:rPr>
        <w:t xml:space="preserve"> working in conjunction with the guideline developers</w:t>
      </w:r>
      <w:r w:rsidRPr="00F256ED">
        <w:rPr>
          <w:b/>
          <w:bCs/>
          <w:sz w:val="20"/>
          <w:szCs w:val="20"/>
        </w:rPr>
        <w:t xml:space="preserve">. </w:t>
      </w:r>
    </w:p>
    <w:p w14:paraId="61440C14" w14:textId="66FB189A" w:rsidR="00806F29" w:rsidRPr="00271ED7" w:rsidRDefault="00806F29" w:rsidP="00806F29">
      <w:pPr>
        <w:rPr>
          <w:rFonts w:ascii="Arial" w:hAnsi="Arial" w:cs="Arial"/>
          <w:b/>
          <w:sz w:val="20"/>
          <w:szCs w:val="20"/>
        </w:rPr>
      </w:pPr>
      <w:r w:rsidRPr="00271ED7">
        <w:rPr>
          <w:rFonts w:ascii="Arial" w:hAnsi="Arial" w:cs="Arial"/>
          <w:b/>
          <w:sz w:val="20"/>
          <w:szCs w:val="20"/>
        </w:rPr>
        <w:t xml:space="preserve">Item </w:t>
      </w:r>
      <w:r w:rsidR="00F256ED">
        <w:rPr>
          <w:rFonts w:ascii="Arial" w:hAnsi="Arial" w:cs="Arial"/>
          <w:b/>
          <w:sz w:val="20"/>
          <w:szCs w:val="20"/>
        </w:rPr>
        <w:t>7</w:t>
      </w:r>
      <w:r w:rsidRPr="00271ED7">
        <w:rPr>
          <w:rFonts w:ascii="Arial" w:hAnsi="Arial" w:cs="Arial"/>
          <w:b/>
          <w:sz w:val="20"/>
          <w:szCs w:val="20"/>
        </w:rPr>
        <w:t xml:space="preserve"> - Review of decisions </w:t>
      </w:r>
    </w:p>
    <w:p w14:paraId="59C2396F" w14:textId="5F521D0A" w:rsidR="00806F29" w:rsidRPr="00271ED7" w:rsidRDefault="003E5228" w:rsidP="00806F29">
      <w:pPr>
        <w:pStyle w:val="CommentText"/>
        <w:rPr>
          <w:rFonts w:ascii="Arial" w:hAnsi="Arial" w:cs="Arial"/>
          <w:lang w:val="en-US"/>
        </w:rPr>
      </w:pPr>
      <w:r>
        <w:rPr>
          <w:rFonts w:ascii="Arial" w:hAnsi="Arial" w:cs="Arial"/>
          <w:lang w:val="en-US"/>
        </w:rPr>
        <w:t>CDG</w:t>
      </w:r>
      <w:r w:rsidR="00806F29" w:rsidRPr="00271ED7">
        <w:rPr>
          <w:rFonts w:ascii="Arial" w:hAnsi="Arial" w:cs="Arial"/>
          <w:lang w:val="en-US"/>
        </w:rPr>
        <w:t xml:space="preserve"> confirmed details of the business and all recorded decisions and actions discussed had been noted.</w:t>
      </w:r>
    </w:p>
    <w:p w14:paraId="3E5C9509" w14:textId="0C94A955" w:rsidR="00806F29" w:rsidRPr="00271ED7" w:rsidRDefault="00806F29" w:rsidP="00806F29">
      <w:pPr>
        <w:rPr>
          <w:rFonts w:ascii="Arial" w:hAnsi="Arial" w:cs="Arial"/>
          <w:b/>
          <w:sz w:val="20"/>
          <w:szCs w:val="20"/>
        </w:rPr>
      </w:pPr>
      <w:r w:rsidRPr="00271ED7">
        <w:rPr>
          <w:rFonts w:ascii="Arial" w:hAnsi="Arial" w:cs="Arial"/>
          <w:b/>
          <w:sz w:val="20"/>
          <w:szCs w:val="20"/>
        </w:rPr>
        <w:t>AOB</w:t>
      </w:r>
    </w:p>
    <w:p w14:paraId="06CB245B" w14:textId="2A572814" w:rsidR="00806F29" w:rsidRPr="00271ED7" w:rsidRDefault="00E1097C" w:rsidP="00806F29">
      <w:pPr>
        <w:rPr>
          <w:rFonts w:ascii="Arial" w:hAnsi="Arial" w:cs="Arial"/>
          <w:bCs/>
          <w:sz w:val="20"/>
          <w:szCs w:val="20"/>
        </w:rPr>
      </w:pPr>
      <w:r>
        <w:rPr>
          <w:rFonts w:ascii="Arial" w:hAnsi="Arial" w:cs="Arial"/>
          <w:bCs/>
          <w:sz w:val="20"/>
          <w:szCs w:val="20"/>
        </w:rPr>
        <w:t>The committee gave a farewell to Kate Francis and Mary Weatherstone who completed their ten-year tenures with NICE</w:t>
      </w:r>
      <w:r w:rsidR="00806F29" w:rsidRPr="00271ED7">
        <w:rPr>
          <w:rFonts w:ascii="Arial" w:hAnsi="Arial" w:cs="Arial"/>
          <w:bCs/>
          <w:sz w:val="20"/>
          <w:szCs w:val="20"/>
        </w:rPr>
        <w:t>.</w:t>
      </w:r>
    </w:p>
    <w:p w14:paraId="03E7BAFA" w14:textId="04E2149C" w:rsidR="000B36E1" w:rsidRPr="00414D3D" w:rsidRDefault="00806F29" w:rsidP="00ED1D39">
      <w:pPr>
        <w:rPr>
          <w:rFonts w:ascii="Times New Roman" w:hAnsi="Times New Roman"/>
          <w:sz w:val="24"/>
          <w:szCs w:val="24"/>
        </w:rPr>
      </w:pPr>
      <w:r w:rsidRPr="00271ED7">
        <w:rPr>
          <w:rFonts w:ascii="Arial" w:hAnsi="Arial" w:cs="Arial"/>
          <w:b/>
          <w:sz w:val="20"/>
          <w:szCs w:val="20"/>
          <w:lang w:val="en-US"/>
        </w:rPr>
        <w:t>Close of meeting</w:t>
      </w:r>
    </w:p>
    <w:sectPr w:rsidR="000B36E1" w:rsidRPr="00414D3D" w:rsidSect="000B36E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CB8E5" w14:textId="77777777" w:rsidR="00915A21" w:rsidRDefault="00915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D323D" w14:textId="4F309A75" w:rsidR="000B36E1" w:rsidRDefault="000B36E1" w:rsidP="000B36E1">
    <w:pPr>
      <w:pStyle w:val="Footer"/>
      <w:tabs>
        <w:tab w:val="clear" w:pos="4513"/>
        <w:tab w:val="clear" w:pos="9026"/>
        <w:tab w:val="left" w:pos="1758"/>
      </w:tabs>
      <w:rPr>
        <w:noProof/>
      </w:rPr>
    </w:pPr>
    <w:r>
      <w:tab/>
      <w:t xml:space="preserve">                                                                                                                                 Page  </w:t>
    </w:r>
    <w:r>
      <w:fldChar w:fldCharType="begin"/>
    </w:r>
    <w:r>
      <w:instrText xml:space="preserve"> PAGE   \* MERGEFORMAT </w:instrText>
    </w:r>
    <w:r>
      <w:fldChar w:fldCharType="separate"/>
    </w:r>
    <w:r w:rsidR="00C55359">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053C7A44">
          <wp:simplePos x="0" y="0"/>
          <wp:positionH relativeFrom="margin">
            <wp:align>center</wp:align>
          </wp:positionH>
          <wp:positionV relativeFrom="margin">
            <wp:posOffset>8340560</wp:posOffset>
          </wp:positionV>
          <wp:extent cx="7000002" cy="509268"/>
          <wp:effectExtent l="0" t="0" r="0" b="5715"/>
          <wp:wrapNone/>
          <wp:docPr id="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9C83" w14:textId="7E9A3A82" w:rsidR="00915A21" w:rsidRDefault="00915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30C4B" w14:textId="7DC38363" w:rsidR="009E2F15" w:rsidRPr="005E0434" w:rsidRDefault="009E2F15" w:rsidP="003A79BD">
    <w:pPr>
      <w:pStyle w:val="Header"/>
      <w:ind w:right="-1"/>
      <w:rPr>
        <w:rFonts w:ascii="Arial" w:hAnsi="Arial" w:cs="Arial"/>
        <w:color w:val="0E0E0E"/>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0301" w14:textId="7BAB8856" w:rsidR="00535753" w:rsidRDefault="000B36E1" w:rsidP="00535753">
    <w:pPr>
      <w:pStyle w:val="Header"/>
      <w:tabs>
        <w:tab w:val="clear" w:pos="9026"/>
        <w:tab w:val="right" w:pos="9923"/>
      </w:tabs>
      <w:ind w:right="-897"/>
      <w:jc w:val="right"/>
      <w:rPr>
        <w:rFonts w:ascii="Arial" w:hAnsi="Arial" w:cs="Arial"/>
        <w:color w:val="4A4A4A"/>
      </w:rPr>
    </w:pPr>
    <w:r w:rsidRPr="005E0434">
      <w:rPr>
        <w:noProof/>
        <w:color w:val="0E0E0E"/>
        <w:lang w:eastAsia="en-GB"/>
      </w:rPr>
      <w:drawing>
        <wp:anchor distT="0" distB="0" distL="114300" distR="114300" simplePos="0" relativeHeight="251662336" behindDoc="0" locked="0" layoutInCell="1" allowOverlap="1" wp14:anchorId="607EDBB9" wp14:editId="7C2B2ED5">
          <wp:simplePos x="0" y="0"/>
          <wp:positionH relativeFrom="margin">
            <wp:posOffset>-699770</wp:posOffset>
          </wp:positionH>
          <wp:positionV relativeFrom="margin">
            <wp:posOffset>-1206817</wp:posOffset>
          </wp:positionV>
          <wp:extent cx="2800350" cy="4965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p>
  <w:p w14:paraId="1AEB29F0" w14:textId="32E4C832" w:rsidR="00535753" w:rsidRDefault="00535753" w:rsidP="00535753">
    <w:pPr>
      <w:pStyle w:val="Header"/>
      <w:tabs>
        <w:tab w:val="clear" w:pos="9026"/>
        <w:tab w:val="right" w:pos="9923"/>
      </w:tabs>
      <w:ind w:right="-897"/>
      <w:jc w:val="right"/>
      <w:rPr>
        <w:rFonts w:ascii="Arial" w:hAnsi="Arial" w:cs="Arial"/>
        <w:color w:val="4A4A4A"/>
      </w:rPr>
    </w:pPr>
  </w:p>
  <w:p w14:paraId="4AB4A2B2" w14:textId="6CFCDFAC" w:rsidR="00535753" w:rsidRPr="001410EB" w:rsidRDefault="00535753" w:rsidP="00535753">
    <w:pPr>
      <w:pStyle w:val="Header"/>
      <w:tabs>
        <w:tab w:val="clear" w:pos="9026"/>
        <w:tab w:val="right" w:pos="9923"/>
      </w:tabs>
      <w:ind w:right="-897"/>
      <w:jc w:val="right"/>
      <w:rPr>
        <w:rFonts w:ascii="Arial" w:hAnsi="Arial" w:cs="Arial"/>
        <w:color w:val="4A4A4A"/>
      </w:rPr>
    </w:pPr>
  </w:p>
  <w:p w14:paraId="0ED25D96" w14:textId="4CCB8430" w:rsidR="00535753" w:rsidRDefault="00535753" w:rsidP="00535753">
    <w:pPr>
      <w:pStyle w:val="Header"/>
      <w:tabs>
        <w:tab w:val="clear" w:pos="9026"/>
        <w:tab w:val="right" w:pos="9923"/>
      </w:tabs>
      <w:ind w:right="-897"/>
      <w:jc w:val="right"/>
      <w:rPr>
        <w:rFonts w:ascii="Arial" w:hAnsi="Arial" w:cs="Arial"/>
        <w:color w:val="4A4A4A"/>
      </w:rPr>
    </w:pPr>
  </w:p>
  <w:p w14:paraId="375CEB94" w14:textId="29CB20D3" w:rsidR="00535753" w:rsidRDefault="00535753" w:rsidP="00535753">
    <w:pPr>
      <w:pStyle w:val="Header"/>
      <w:tabs>
        <w:tab w:val="clear" w:pos="9026"/>
        <w:tab w:val="right" w:pos="9923"/>
      </w:tabs>
      <w:ind w:right="-897"/>
      <w:jc w:val="right"/>
      <w:rPr>
        <w:rFonts w:ascii="Arial" w:hAnsi="Arial" w:cs="Arial"/>
        <w:color w:val="4A4A4A"/>
      </w:rPr>
    </w:pPr>
  </w:p>
  <w:p w14:paraId="02C66D6D" w14:textId="2478620D" w:rsidR="00535753" w:rsidRPr="001410EB" w:rsidRDefault="00535753" w:rsidP="00535753">
    <w:pPr>
      <w:pStyle w:val="Header"/>
      <w:tabs>
        <w:tab w:val="clear" w:pos="9026"/>
        <w:tab w:val="right" w:pos="9923"/>
      </w:tabs>
      <w:ind w:right="-897"/>
      <w:jc w:val="right"/>
      <w:rPr>
        <w:rFonts w:ascii="Arial" w:hAnsi="Arial" w:cs="Arial"/>
        <w:color w:val="4A4A4A"/>
      </w:rPr>
    </w:pPr>
  </w:p>
  <w:p w14:paraId="1160AE37" w14:textId="77777777" w:rsidR="00535753" w:rsidRPr="001410EB" w:rsidRDefault="00535753" w:rsidP="00535753">
    <w:pPr>
      <w:pStyle w:val="Header"/>
      <w:tabs>
        <w:tab w:val="clear" w:pos="9026"/>
        <w:tab w:val="right" w:pos="9923"/>
      </w:tabs>
      <w:ind w:right="-897"/>
      <w:jc w:val="right"/>
      <w:rPr>
        <w:rFonts w:ascii="Arial" w:hAnsi="Arial" w:cs="Arial"/>
        <w:color w:val="4A4A4A"/>
      </w:rPr>
    </w:pPr>
  </w:p>
  <w:p w14:paraId="45082FA0" w14:textId="3082D952" w:rsidR="00535753" w:rsidRPr="001410EB" w:rsidRDefault="00535753" w:rsidP="00535753">
    <w:pPr>
      <w:pStyle w:val="Header"/>
      <w:tabs>
        <w:tab w:val="clear" w:pos="9026"/>
        <w:tab w:val="right" w:pos="9923"/>
      </w:tabs>
      <w:ind w:right="-897"/>
      <w:jc w:val="right"/>
      <w:rPr>
        <w:rFonts w:ascii="Arial" w:hAnsi="Arial" w:cs="Arial"/>
        <w:color w:val="4A4A4A"/>
      </w:rPr>
    </w:pPr>
  </w:p>
  <w:p w14:paraId="5D75BB6C" w14:textId="6617EE15" w:rsidR="000B36E1" w:rsidRDefault="000B36E1" w:rsidP="00535753">
    <w:pPr>
      <w:pStyle w:val="Header"/>
      <w:tabs>
        <w:tab w:val="clear" w:pos="9026"/>
        <w:tab w:val="right" w:pos="10065"/>
      </w:tabs>
      <w:ind w:right="-103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4696877"/>
    <w:multiLevelType w:val="hybridMultilevel"/>
    <w:tmpl w:val="C2D275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C82C7A"/>
    <w:multiLevelType w:val="hybridMultilevel"/>
    <w:tmpl w:val="7BACECFA"/>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E37984"/>
    <w:multiLevelType w:val="hybridMultilevel"/>
    <w:tmpl w:val="5B4CE540"/>
    <w:lvl w:ilvl="0" w:tplc="EF0C2B6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41DE9"/>
    <w:multiLevelType w:val="hybridMultilevel"/>
    <w:tmpl w:val="05E2F36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8A761D"/>
    <w:multiLevelType w:val="hybridMultilevel"/>
    <w:tmpl w:val="14EE654C"/>
    <w:lvl w:ilvl="0" w:tplc="A5EE0850">
      <w:start w:val="1"/>
      <w:numFmt w:val="bullet"/>
      <w:lvlText w:val="•"/>
      <w:lvlJc w:val="left"/>
      <w:pPr>
        <w:tabs>
          <w:tab w:val="num" w:pos="720"/>
        </w:tabs>
        <w:ind w:left="720" w:hanging="360"/>
      </w:pPr>
      <w:rPr>
        <w:rFonts w:ascii="Arial" w:hAnsi="Arial" w:hint="default"/>
      </w:rPr>
    </w:lvl>
    <w:lvl w:ilvl="1" w:tplc="1DD832DA" w:tentative="1">
      <w:start w:val="1"/>
      <w:numFmt w:val="bullet"/>
      <w:lvlText w:val="•"/>
      <w:lvlJc w:val="left"/>
      <w:pPr>
        <w:tabs>
          <w:tab w:val="num" w:pos="1440"/>
        </w:tabs>
        <w:ind w:left="1440" w:hanging="360"/>
      </w:pPr>
      <w:rPr>
        <w:rFonts w:ascii="Arial" w:hAnsi="Arial" w:hint="default"/>
      </w:rPr>
    </w:lvl>
    <w:lvl w:ilvl="2" w:tplc="1DEA0FFE" w:tentative="1">
      <w:start w:val="1"/>
      <w:numFmt w:val="bullet"/>
      <w:lvlText w:val="•"/>
      <w:lvlJc w:val="left"/>
      <w:pPr>
        <w:tabs>
          <w:tab w:val="num" w:pos="2160"/>
        </w:tabs>
        <w:ind w:left="2160" w:hanging="360"/>
      </w:pPr>
      <w:rPr>
        <w:rFonts w:ascii="Arial" w:hAnsi="Arial" w:hint="default"/>
      </w:rPr>
    </w:lvl>
    <w:lvl w:ilvl="3" w:tplc="06648064" w:tentative="1">
      <w:start w:val="1"/>
      <w:numFmt w:val="bullet"/>
      <w:lvlText w:val="•"/>
      <w:lvlJc w:val="left"/>
      <w:pPr>
        <w:tabs>
          <w:tab w:val="num" w:pos="2880"/>
        </w:tabs>
        <w:ind w:left="2880" w:hanging="360"/>
      </w:pPr>
      <w:rPr>
        <w:rFonts w:ascii="Arial" w:hAnsi="Arial" w:hint="default"/>
      </w:rPr>
    </w:lvl>
    <w:lvl w:ilvl="4" w:tplc="E4D429D0" w:tentative="1">
      <w:start w:val="1"/>
      <w:numFmt w:val="bullet"/>
      <w:lvlText w:val="•"/>
      <w:lvlJc w:val="left"/>
      <w:pPr>
        <w:tabs>
          <w:tab w:val="num" w:pos="3600"/>
        </w:tabs>
        <w:ind w:left="3600" w:hanging="360"/>
      </w:pPr>
      <w:rPr>
        <w:rFonts w:ascii="Arial" w:hAnsi="Arial" w:hint="default"/>
      </w:rPr>
    </w:lvl>
    <w:lvl w:ilvl="5" w:tplc="77E4C63A" w:tentative="1">
      <w:start w:val="1"/>
      <w:numFmt w:val="bullet"/>
      <w:lvlText w:val="•"/>
      <w:lvlJc w:val="left"/>
      <w:pPr>
        <w:tabs>
          <w:tab w:val="num" w:pos="4320"/>
        </w:tabs>
        <w:ind w:left="4320" w:hanging="360"/>
      </w:pPr>
      <w:rPr>
        <w:rFonts w:ascii="Arial" w:hAnsi="Arial" w:hint="default"/>
      </w:rPr>
    </w:lvl>
    <w:lvl w:ilvl="6" w:tplc="2E88825C" w:tentative="1">
      <w:start w:val="1"/>
      <w:numFmt w:val="bullet"/>
      <w:lvlText w:val="•"/>
      <w:lvlJc w:val="left"/>
      <w:pPr>
        <w:tabs>
          <w:tab w:val="num" w:pos="5040"/>
        </w:tabs>
        <w:ind w:left="5040" w:hanging="360"/>
      </w:pPr>
      <w:rPr>
        <w:rFonts w:ascii="Arial" w:hAnsi="Arial" w:hint="default"/>
      </w:rPr>
    </w:lvl>
    <w:lvl w:ilvl="7" w:tplc="989AF466" w:tentative="1">
      <w:start w:val="1"/>
      <w:numFmt w:val="bullet"/>
      <w:lvlText w:val="•"/>
      <w:lvlJc w:val="left"/>
      <w:pPr>
        <w:tabs>
          <w:tab w:val="num" w:pos="5760"/>
        </w:tabs>
        <w:ind w:left="5760" w:hanging="360"/>
      </w:pPr>
      <w:rPr>
        <w:rFonts w:ascii="Arial" w:hAnsi="Arial" w:hint="default"/>
      </w:rPr>
    </w:lvl>
    <w:lvl w:ilvl="8" w:tplc="7D7A4C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BA0ADD"/>
    <w:multiLevelType w:val="hybridMultilevel"/>
    <w:tmpl w:val="E70C7246"/>
    <w:lvl w:ilvl="0" w:tplc="4E6875C0">
      <w:start w:val="1"/>
      <w:numFmt w:val="bullet"/>
      <w:lvlText w:val=""/>
      <w:lvlJc w:val="left"/>
      <w:pPr>
        <w:tabs>
          <w:tab w:val="num" w:pos="720"/>
        </w:tabs>
        <w:ind w:left="720" w:hanging="360"/>
      </w:pPr>
      <w:rPr>
        <w:rFonts w:ascii="Symbol" w:hAnsi="Symbol" w:hint="default"/>
      </w:rPr>
    </w:lvl>
    <w:lvl w:ilvl="1" w:tplc="C1DA54AC">
      <w:numFmt w:val="bullet"/>
      <w:lvlText w:val="o"/>
      <w:lvlJc w:val="left"/>
      <w:pPr>
        <w:tabs>
          <w:tab w:val="num" w:pos="1440"/>
        </w:tabs>
        <w:ind w:left="1440" w:hanging="360"/>
      </w:pPr>
      <w:rPr>
        <w:rFonts w:ascii="Courier New" w:hAnsi="Courier New" w:hint="default"/>
      </w:rPr>
    </w:lvl>
    <w:lvl w:ilvl="2" w:tplc="A1825FA8" w:tentative="1">
      <w:start w:val="1"/>
      <w:numFmt w:val="bullet"/>
      <w:lvlText w:val=""/>
      <w:lvlJc w:val="left"/>
      <w:pPr>
        <w:tabs>
          <w:tab w:val="num" w:pos="2160"/>
        </w:tabs>
        <w:ind w:left="2160" w:hanging="360"/>
      </w:pPr>
      <w:rPr>
        <w:rFonts w:ascii="Symbol" w:hAnsi="Symbol" w:hint="default"/>
      </w:rPr>
    </w:lvl>
    <w:lvl w:ilvl="3" w:tplc="18AE346E" w:tentative="1">
      <w:start w:val="1"/>
      <w:numFmt w:val="bullet"/>
      <w:lvlText w:val=""/>
      <w:lvlJc w:val="left"/>
      <w:pPr>
        <w:tabs>
          <w:tab w:val="num" w:pos="2880"/>
        </w:tabs>
        <w:ind w:left="2880" w:hanging="360"/>
      </w:pPr>
      <w:rPr>
        <w:rFonts w:ascii="Symbol" w:hAnsi="Symbol" w:hint="default"/>
      </w:rPr>
    </w:lvl>
    <w:lvl w:ilvl="4" w:tplc="BE32257C" w:tentative="1">
      <w:start w:val="1"/>
      <w:numFmt w:val="bullet"/>
      <w:lvlText w:val=""/>
      <w:lvlJc w:val="left"/>
      <w:pPr>
        <w:tabs>
          <w:tab w:val="num" w:pos="3600"/>
        </w:tabs>
        <w:ind w:left="3600" w:hanging="360"/>
      </w:pPr>
      <w:rPr>
        <w:rFonts w:ascii="Symbol" w:hAnsi="Symbol" w:hint="default"/>
      </w:rPr>
    </w:lvl>
    <w:lvl w:ilvl="5" w:tplc="76AC430A" w:tentative="1">
      <w:start w:val="1"/>
      <w:numFmt w:val="bullet"/>
      <w:lvlText w:val=""/>
      <w:lvlJc w:val="left"/>
      <w:pPr>
        <w:tabs>
          <w:tab w:val="num" w:pos="4320"/>
        </w:tabs>
        <w:ind w:left="4320" w:hanging="360"/>
      </w:pPr>
      <w:rPr>
        <w:rFonts w:ascii="Symbol" w:hAnsi="Symbol" w:hint="default"/>
      </w:rPr>
    </w:lvl>
    <w:lvl w:ilvl="6" w:tplc="396654D0" w:tentative="1">
      <w:start w:val="1"/>
      <w:numFmt w:val="bullet"/>
      <w:lvlText w:val=""/>
      <w:lvlJc w:val="left"/>
      <w:pPr>
        <w:tabs>
          <w:tab w:val="num" w:pos="5040"/>
        </w:tabs>
        <w:ind w:left="5040" w:hanging="360"/>
      </w:pPr>
      <w:rPr>
        <w:rFonts w:ascii="Symbol" w:hAnsi="Symbol" w:hint="default"/>
      </w:rPr>
    </w:lvl>
    <w:lvl w:ilvl="7" w:tplc="27DED2DC" w:tentative="1">
      <w:start w:val="1"/>
      <w:numFmt w:val="bullet"/>
      <w:lvlText w:val=""/>
      <w:lvlJc w:val="left"/>
      <w:pPr>
        <w:tabs>
          <w:tab w:val="num" w:pos="5760"/>
        </w:tabs>
        <w:ind w:left="5760" w:hanging="360"/>
      </w:pPr>
      <w:rPr>
        <w:rFonts w:ascii="Symbol" w:hAnsi="Symbol" w:hint="default"/>
      </w:rPr>
    </w:lvl>
    <w:lvl w:ilvl="8" w:tplc="FF52999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FDB01C8"/>
    <w:multiLevelType w:val="hybridMultilevel"/>
    <w:tmpl w:val="119A824E"/>
    <w:lvl w:ilvl="0" w:tplc="7A3A7E1A">
      <w:start w:val="1"/>
      <w:numFmt w:val="bullet"/>
      <w:lvlText w:val=""/>
      <w:lvlJc w:val="left"/>
      <w:pPr>
        <w:tabs>
          <w:tab w:val="num" w:pos="720"/>
        </w:tabs>
        <w:ind w:left="720" w:hanging="360"/>
      </w:pPr>
      <w:rPr>
        <w:rFonts w:ascii="Symbol" w:hAnsi="Symbol" w:hint="default"/>
      </w:rPr>
    </w:lvl>
    <w:lvl w:ilvl="1" w:tplc="2B78E35A" w:tentative="1">
      <w:start w:val="1"/>
      <w:numFmt w:val="bullet"/>
      <w:lvlText w:val=""/>
      <w:lvlJc w:val="left"/>
      <w:pPr>
        <w:tabs>
          <w:tab w:val="num" w:pos="1440"/>
        </w:tabs>
        <w:ind w:left="1440" w:hanging="360"/>
      </w:pPr>
      <w:rPr>
        <w:rFonts w:ascii="Symbol" w:hAnsi="Symbol" w:hint="default"/>
      </w:rPr>
    </w:lvl>
    <w:lvl w:ilvl="2" w:tplc="85E2CDE0" w:tentative="1">
      <w:start w:val="1"/>
      <w:numFmt w:val="bullet"/>
      <w:lvlText w:val=""/>
      <w:lvlJc w:val="left"/>
      <w:pPr>
        <w:tabs>
          <w:tab w:val="num" w:pos="2160"/>
        </w:tabs>
        <w:ind w:left="2160" w:hanging="360"/>
      </w:pPr>
      <w:rPr>
        <w:rFonts w:ascii="Symbol" w:hAnsi="Symbol" w:hint="default"/>
      </w:rPr>
    </w:lvl>
    <w:lvl w:ilvl="3" w:tplc="9318787C" w:tentative="1">
      <w:start w:val="1"/>
      <w:numFmt w:val="bullet"/>
      <w:lvlText w:val=""/>
      <w:lvlJc w:val="left"/>
      <w:pPr>
        <w:tabs>
          <w:tab w:val="num" w:pos="2880"/>
        </w:tabs>
        <w:ind w:left="2880" w:hanging="360"/>
      </w:pPr>
      <w:rPr>
        <w:rFonts w:ascii="Symbol" w:hAnsi="Symbol" w:hint="default"/>
      </w:rPr>
    </w:lvl>
    <w:lvl w:ilvl="4" w:tplc="C9C4F17A" w:tentative="1">
      <w:start w:val="1"/>
      <w:numFmt w:val="bullet"/>
      <w:lvlText w:val=""/>
      <w:lvlJc w:val="left"/>
      <w:pPr>
        <w:tabs>
          <w:tab w:val="num" w:pos="3600"/>
        </w:tabs>
        <w:ind w:left="3600" w:hanging="360"/>
      </w:pPr>
      <w:rPr>
        <w:rFonts w:ascii="Symbol" w:hAnsi="Symbol" w:hint="default"/>
      </w:rPr>
    </w:lvl>
    <w:lvl w:ilvl="5" w:tplc="5E263BA2" w:tentative="1">
      <w:start w:val="1"/>
      <w:numFmt w:val="bullet"/>
      <w:lvlText w:val=""/>
      <w:lvlJc w:val="left"/>
      <w:pPr>
        <w:tabs>
          <w:tab w:val="num" w:pos="4320"/>
        </w:tabs>
        <w:ind w:left="4320" w:hanging="360"/>
      </w:pPr>
      <w:rPr>
        <w:rFonts w:ascii="Symbol" w:hAnsi="Symbol" w:hint="default"/>
      </w:rPr>
    </w:lvl>
    <w:lvl w:ilvl="6" w:tplc="43D222FA" w:tentative="1">
      <w:start w:val="1"/>
      <w:numFmt w:val="bullet"/>
      <w:lvlText w:val=""/>
      <w:lvlJc w:val="left"/>
      <w:pPr>
        <w:tabs>
          <w:tab w:val="num" w:pos="5040"/>
        </w:tabs>
        <w:ind w:left="5040" w:hanging="360"/>
      </w:pPr>
      <w:rPr>
        <w:rFonts w:ascii="Symbol" w:hAnsi="Symbol" w:hint="default"/>
      </w:rPr>
    </w:lvl>
    <w:lvl w:ilvl="7" w:tplc="1E2A8D62" w:tentative="1">
      <w:start w:val="1"/>
      <w:numFmt w:val="bullet"/>
      <w:lvlText w:val=""/>
      <w:lvlJc w:val="left"/>
      <w:pPr>
        <w:tabs>
          <w:tab w:val="num" w:pos="5760"/>
        </w:tabs>
        <w:ind w:left="5760" w:hanging="360"/>
      </w:pPr>
      <w:rPr>
        <w:rFonts w:ascii="Symbol" w:hAnsi="Symbol" w:hint="default"/>
      </w:rPr>
    </w:lvl>
    <w:lvl w:ilvl="8" w:tplc="822691A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0E262AE"/>
    <w:multiLevelType w:val="hybridMultilevel"/>
    <w:tmpl w:val="CBF28764"/>
    <w:lvl w:ilvl="0" w:tplc="97E6E9E6">
      <w:start w:val="1"/>
      <w:numFmt w:val="bullet"/>
      <w:lvlText w:val="•"/>
      <w:lvlJc w:val="left"/>
      <w:pPr>
        <w:tabs>
          <w:tab w:val="num" w:pos="720"/>
        </w:tabs>
        <w:ind w:left="720" w:hanging="360"/>
      </w:pPr>
      <w:rPr>
        <w:rFonts w:ascii="Arial" w:hAnsi="Arial" w:hint="default"/>
      </w:rPr>
    </w:lvl>
    <w:lvl w:ilvl="1" w:tplc="BE043DD0" w:tentative="1">
      <w:start w:val="1"/>
      <w:numFmt w:val="bullet"/>
      <w:lvlText w:val="•"/>
      <w:lvlJc w:val="left"/>
      <w:pPr>
        <w:tabs>
          <w:tab w:val="num" w:pos="1440"/>
        </w:tabs>
        <w:ind w:left="1440" w:hanging="360"/>
      </w:pPr>
      <w:rPr>
        <w:rFonts w:ascii="Arial" w:hAnsi="Arial" w:hint="default"/>
      </w:rPr>
    </w:lvl>
    <w:lvl w:ilvl="2" w:tplc="A8984150" w:tentative="1">
      <w:start w:val="1"/>
      <w:numFmt w:val="bullet"/>
      <w:lvlText w:val="•"/>
      <w:lvlJc w:val="left"/>
      <w:pPr>
        <w:tabs>
          <w:tab w:val="num" w:pos="2160"/>
        </w:tabs>
        <w:ind w:left="2160" w:hanging="360"/>
      </w:pPr>
      <w:rPr>
        <w:rFonts w:ascii="Arial" w:hAnsi="Arial" w:hint="default"/>
      </w:rPr>
    </w:lvl>
    <w:lvl w:ilvl="3" w:tplc="116470E2" w:tentative="1">
      <w:start w:val="1"/>
      <w:numFmt w:val="bullet"/>
      <w:lvlText w:val="•"/>
      <w:lvlJc w:val="left"/>
      <w:pPr>
        <w:tabs>
          <w:tab w:val="num" w:pos="2880"/>
        </w:tabs>
        <w:ind w:left="2880" w:hanging="360"/>
      </w:pPr>
      <w:rPr>
        <w:rFonts w:ascii="Arial" w:hAnsi="Arial" w:hint="default"/>
      </w:rPr>
    </w:lvl>
    <w:lvl w:ilvl="4" w:tplc="EB58407C" w:tentative="1">
      <w:start w:val="1"/>
      <w:numFmt w:val="bullet"/>
      <w:lvlText w:val="•"/>
      <w:lvlJc w:val="left"/>
      <w:pPr>
        <w:tabs>
          <w:tab w:val="num" w:pos="3600"/>
        </w:tabs>
        <w:ind w:left="3600" w:hanging="360"/>
      </w:pPr>
      <w:rPr>
        <w:rFonts w:ascii="Arial" w:hAnsi="Arial" w:hint="default"/>
      </w:rPr>
    </w:lvl>
    <w:lvl w:ilvl="5" w:tplc="55F29EB6" w:tentative="1">
      <w:start w:val="1"/>
      <w:numFmt w:val="bullet"/>
      <w:lvlText w:val="•"/>
      <w:lvlJc w:val="left"/>
      <w:pPr>
        <w:tabs>
          <w:tab w:val="num" w:pos="4320"/>
        </w:tabs>
        <w:ind w:left="4320" w:hanging="360"/>
      </w:pPr>
      <w:rPr>
        <w:rFonts w:ascii="Arial" w:hAnsi="Arial" w:hint="default"/>
      </w:rPr>
    </w:lvl>
    <w:lvl w:ilvl="6" w:tplc="4E72F25A" w:tentative="1">
      <w:start w:val="1"/>
      <w:numFmt w:val="bullet"/>
      <w:lvlText w:val="•"/>
      <w:lvlJc w:val="left"/>
      <w:pPr>
        <w:tabs>
          <w:tab w:val="num" w:pos="5040"/>
        </w:tabs>
        <w:ind w:left="5040" w:hanging="360"/>
      </w:pPr>
      <w:rPr>
        <w:rFonts w:ascii="Arial" w:hAnsi="Arial" w:hint="default"/>
      </w:rPr>
    </w:lvl>
    <w:lvl w:ilvl="7" w:tplc="02EC8C80" w:tentative="1">
      <w:start w:val="1"/>
      <w:numFmt w:val="bullet"/>
      <w:lvlText w:val="•"/>
      <w:lvlJc w:val="left"/>
      <w:pPr>
        <w:tabs>
          <w:tab w:val="num" w:pos="5760"/>
        </w:tabs>
        <w:ind w:left="5760" w:hanging="360"/>
      </w:pPr>
      <w:rPr>
        <w:rFonts w:ascii="Arial" w:hAnsi="Arial" w:hint="default"/>
      </w:rPr>
    </w:lvl>
    <w:lvl w:ilvl="8" w:tplc="B31CAE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812A8F"/>
    <w:multiLevelType w:val="hybridMultilevel"/>
    <w:tmpl w:val="5A5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24ADC"/>
    <w:multiLevelType w:val="hybridMultilevel"/>
    <w:tmpl w:val="E0E4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E783B"/>
    <w:multiLevelType w:val="hybridMultilevel"/>
    <w:tmpl w:val="76FE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C307A"/>
    <w:multiLevelType w:val="hybridMultilevel"/>
    <w:tmpl w:val="FF1808FC"/>
    <w:lvl w:ilvl="0" w:tplc="EF8C9516">
      <w:start w:val="1"/>
      <w:numFmt w:val="decimal"/>
      <w:lvlText w:val="%1."/>
      <w:lvlJc w:val="left"/>
      <w:pPr>
        <w:tabs>
          <w:tab w:val="num" w:pos="720"/>
        </w:tabs>
        <w:ind w:left="720" w:hanging="360"/>
      </w:pPr>
    </w:lvl>
    <w:lvl w:ilvl="1" w:tplc="E0A6FDC6" w:tentative="1">
      <w:start w:val="1"/>
      <w:numFmt w:val="decimal"/>
      <w:lvlText w:val="%2."/>
      <w:lvlJc w:val="left"/>
      <w:pPr>
        <w:tabs>
          <w:tab w:val="num" w:pos="1440"/>
        </w:tabs>
        <w:ind w:left="1440" w:hanging="360"/>
      </w:pPr>
    </w:lvl>
    <w:lvl w:ilvl="2" w:tplc="60AAE084" w:tentative="1">
      <w:start w:val="1"/>
      <w:numFmt w:val="decimal"/>
      <w:lvlText w:val="%3."/>
      <w:lvlJc w:val="left"/>
      <w:pPr>
        <w:tabs>
          <w:tab w:val="num" w:pos="2160"/>
        </w:tabs>
        <w:ind w:left="2160" w:hanging="360"/>
      </w:pPr>
    </w:lvl>
    <w:lvl w:ilvl="3" w:tplc="E8EEB3A6" w:tentative="1">
      <w:start w:val="1"/>
      <w:numFmt w:val="decimal"/>
      <w:lvlText w:val="%4."/>
      <w:lvlJc w:val="left"/>
      <w:pPr>
        <w:tabs>
          <w:tab w:val="num" w:pos="2880"/>
        </w:tabs>
        <w:ind w:left="2880" w:hanging="360"/>
      </w:pPr>
    </w:lvl>
    <w:lvl w:ilvl="4" w:tplc="826C0E46" w:tentative="1">
      <w:start w:val="1"/>
      <w:numFmt w:val="decimal"/>
      <w:lvlText w:val="%5."/>
      <w:lvlJc w:val="left"/>
      <w:pPr>
        <w:tabs>
          <w:tab w:val="num" w:pos="3600"/>
        </w:tabs>
        <w:ind w:left="3600" w:hanging="360"/>
      </w:pPr>
    </w:lvl>
    <w:lvl w:ilvl="5" w:tplc="EFB6D51E" w:tentative="1">
      <w:start w:val="1"/>
      <w:numFmt w:val="decimal"/>
      <w:lvlText w:val="%6."/>
      <w:lvlJc w:val="left"/>
      <w:pPr>
        <w:tabs>
          <w:tab w:val="num" w:pos="4320"/>
        </w:tabs>
        <w:ind w:left="4320" w:hanging="360"/>
      </w:pPr>
    </w:lvl>
    <w:lvl w:ilvl="6" w:tplc="5BEE427E" w:tentative="1">
      <w:start w:val="1"/>
      <w:numFmt w:val="decimal"/>
      <w:lvlText w:val="%7."/>
      <w:lvlJc w:val="left"/>
      <w:pPr>
        <w:tabs>
          <w:tab w:val="num" w:pos="5040"/>
        </w:tabs>
        <w:ind w:left="5040" w:hanging="360"/>
      </w:pPr>
    </w:lvl>
    <w:lvl w:ilvl="7" w:tplc="2DBC1538" w:tentative="1">
      <w:start w:val="1"/>
      <w:numFmt w:val="decimal"/>
      <w:lvlText w:val="%8."/>
      <w:lvlJc w:val="left"/>
      <w:pPr>
        <w:tabs>
          <w:tab w:val="num" w:pos="5760"/>
        </w:tabs>
        <w:ind w:left="5760" w:hanging="360"/>
      </w:pPr>
    </w:lvl>
    <w:lvl w:ilvl="8" w:tplc="5D6E9DFA" w:tentative="1">
      <w:start w:val="1"/>
      <w:numFmt w:val="decimal"/>
      <w:lvlText w:val="%9."/>
      <w:lvlJc w:val="left"/>
      <w:pPr>
        <w:tabs>
          <w:tab w:val="num" w:pos="6480"/>
        </w:tabs>
        <w:ind w:left="6480" w:hanging="360"/>
      </w:pPr>
    </w:lvl>
  </w:abstractNum>
  <w:abstractNum w:abstractNumId="12" w15:restartNumberingAfterBreak="0">
    <w:nsid w:val="2BA76690"/>
    <w:multiLevelType w:val="hybridMultilevel"/>
    <w:tmpl w:val="E0BADF32"/>
    <w:lvl w:ilvl="0" w:tplc="3EFCBC5A">
      <w:start w:val="1"/>
      <w:numFmt w:val="bullet"/>
      <w:lvlText w:val="•"/>
      <w:lvlJc w:val="left"/>
      <w:pPr>
        <w:tabs>
          <w:tab w:val="num" w:pos="720"/>
        </w:tabs>
        <w:ind w:left="720" w:hanging="360"/>
      </w:pPr>
      <w:rPr>
        <w:rFonts w:ascii="Arial" w:hAnsi="Arial" w:hint="default"/>
      </w:rPr>
    </w:lvl>
    <w:lvl w:ilvl="1" w:tplc="4C0AA94E" w:tentative="1">
      <w:start w:val="1"/>
      <w:numFmt w:val="bullet"/>
      <w:lvlText w:val="•"/>
      <w:lvlJc w:val="left"/>
      <w:pPr>
        <w:tabs>
          <w:tab w:val="num" w:pos="1440"/>
        </w:tabs>
        <w:ind w:left="1440" w:hanging="360"/>
      </w:pPr>
      <w:rPr>
        <w:rFonts w:ascii="Arial" w:hAnsi="Arial" w:hint="default"/>
      </w:rPr>
    </w:lvl>
    <w:lvl w:ilvl="2" w:tplc="C658AD8E" w:tentative="1">
      <w:start w:val="1"/>
      <w:numFmt w:val="bullet"/>
      <w:lvlText w:val="•"/>
      <w:lvlJc w:val="left"/>
      <w:pPr>
        <w:tabs>
          <w:tab w:val="num" w:pos="2160"/>
        </w:tabs>
        <w:ind w:left="2160" w:hanging="360"/>
      </w:pPr>
      <w:rPr>
        <w:rFonts w:ascii="Arial" w:hAnsi="Arial" w:hint="default"/>
      </w:rPr>
    </w:lvl>
    <w:lvl w:ilvl="3" w:tplc="99282EAE" w:tentative="1">
      <w:start w:val="1"/>
      <w:numFmt w:val="bullet"/>
      <w:lvlText w:val="•"/>
      <w:lvlJc w:val="left"/>
      <w:pPr>
        <w:tabs>
          <w:tab w:val="num" w:pos="2880"/>
        </w:tabs>
        <w:ind w:left="2880" w:hanging="360"/>
      </w:pPr>
      <w:rPr>
        <w:rFonts w:ascii="Arial" w:hAnsi="Arial" w:hint="default"/>
      </w:rPr>
    </w:lvl>
    <w:lvl w:ilvl="4" w:tplc="47EECE88" w:tentative="1">
      <w:start w:val="1"/>
      <w:numFmt w:val="bullet"/>
      <w:lvlText w:val="•"/>
      <w:lvlJc w:val="left"/>
      <w:pPr>
        <w:tabs>
          <w:tab w:val="num" w:pos="3600"/>
        </w:tabs>
        <w:ind w:left="3600" w:hanging="360"/>
      </w:pPr>
      <w:rPr>
        <w:rFonts w:ascii="Arial" w:hAnsi="Arial" w:hint="default"/>
      </w:rPr>
    </w:lvl>
    <w:lvl w:ilvl="5" w:tplc="ACC6A1E4" w:tentative="1">
      <w:start w:val="1"/>
      <w:numFmt w:val="bullet"/>
      <w:lvlText w:val="•"/>
      <w:lvlJc w:val="left"/>
      <w:pPr>
        <w:tabs>
          <w:tab w:val="num" w:pos="4320"/>
        </w:tabs>
        <w:ind w:left="4320" w:hanging="360"/>
      </w:pPr>
      <w:rPr>
        <w:rFonts w:ascii="Arial" w:hAnsi="Arial" w:hint="default"/>
      </w:rPr>
    </w:lvl>
    <w:lvl w:ilvl="6" w:tplc="1F3C8248" w:tentative="1">
      <w:start w:val="1"/>
      <w:numFmt w:val="bullet"/>
      <w:lvlText w:val="•"/>
      <w:lvlJc w:val="left"/>
      <w:pPr>
        <w:tabs>
          <w:tab w:val="num" w:pos="5040"/>
        </w:tabs>
        <w:ind w:left="5040" w:hanging="360"/>
      </w:pPr>
      <w:rPr>
        <w:rFonts w:ascii="Arial" w:hAnsi="Arial" w:hint="default"/>
      </w:rPr>
    </w:lvl>
    <w:lvl w:ilvl="7" w:tplc="A4A60608" w:tentative="1">
      <w:start w:val="1"/>
      <w:numFmt w:val="bullet"/>
      <w:lvlText w:val="•"/>
      <w:lvlJc w:val="left"/>
      <w:pPr>
        <w:tabs>
          <w:tab w:val="num" w:pos="5760"/>
        </w:tabs>
        <w:ind w:left="5760" w:hanging="360"/>
      </w:pPr>
      <w:rPr>
        <w:rFonts w:ascii="Arial" w:hAnsi="Arial" w:hint="default"/>
      </w:rPr>
    </w:lvl>
    <w:lvl w:ilvl="8" w:tplc="AFBE95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0F5C70"/>
    <w:multiLevelType w:val="hybridMultilevel"/>
    <w:tmpl w:val="EF8C7778"/>
    <w:lvl w:ilvl="0" w:tplc="9600EB2C">
      <w:start w:val="1"/>
      <w:numFmt w:val="bullet"/>
      <w:lvlText w:val=""/>
      <w:lvlJc w:val="left"/>
      <w:pPr>
        <w:tabs>
          <w:tab w:val="num" w:pos="720"/>
        </w:tabs>
        <w:ind w:left="720" w:hanging="360"/>
      </w:pPr>
      <w:rPr>
        <w:rFonts w:ascii="Symbol" w:hAnsi="Symbol" w:hint="default"/>
      </w:rPr>
    </w:lvl>
    <w:lvl w:ilvl="1" w:tplc="7C9E3522" w:tentative="1">
      <w:start w:val="1"/>
      <w:numFmt w:val="bullet"/>
      <w:lvlText w:val=""/>
      <w:lvlJc w:val="left"/>
      <w:pPr>
        <w:tabs>
          <w:tab w:val="num" w:pos="1440"/>
        </w:tabs>
        <w:ind w:left="1440" w:hanging="360"/>
      </w:pPr>
      <w:rPr>
        <w:rFonts w:ascii="Symbol" w:hAnsi="Symbol" w:hint="default"/>
      </w:rPr>
    </w:lvl>
    <w:lvl w:ilvl="2" w:tplc="E8C67B22" w:tentative="1">
      <w:start w:val="1"/>
      <w:numFmt w:val="bullet"/>
      <w:lvlText w:val=""/>
      <w:lvlJc w:val="left"/>
      <w:pPr>
        <w:tabs>
          <w:tab w:val="num" w:pos="2160"/>
        </w:tabs>
        <w:ind w:left="2160" w:hanging="360"/>
      </w:pPr>
      <w:rPr>
        <w:rFonts w:ascii="Symbol" w:hAnsi="Symbol" w:hint="default"/>
      </w:rPr>
    </w:lvl>
    <w:lvl w:ilvl="3" w:tplc="65B41702" w:tentative="1">
      <w:start w:val="1"/>
      <w:numFmt w:val="bullet"/>
      <w:lvlText w:val=""/>
      <w:lvlJc w:val="left"/>
      <w:pPr>
        <w:tabs>
          <w:tab w:val="num" w:pos="2880"/>
        </w:tabs>
        <w:ind w:left="2880" w:hanging="360"/>
      </w:pPr>
      <w:rPr>
        <w:rFonts w:ascii="Symbol" w:hAnsi="Symbol" w:hint="default"/>
      </w:rPr>
    </w:lvl>
    <w:lvl w:ilvl="4" w:tplc="ED8CB482" w:tentative="1">
      <w:start w:val="1"/>
      <w:numFmt w:val="bullet"/>
      <w:lvlText w:val=""/>
      <w:lvlJc w:val="left"/>
      <w:pPr>
        <w:tabs>
          <w:tab w:val="num" w:pos="3600"/>
        </w:tabs>
        <w:ind w:left="3600" w:hanging="360"/>
      </w:pPr>
      <w:rPr>
        <w:rFonts w:ascii="Symbol" w:hAnsi="Symbol" w:hint="default"/>
      </w:rPr>
    </w:lvl>
    <w:lvl w:ilvl="5" w:tplc="4FE46432" w:tentative="1">
      <w:start w:val="1"/>
      <w:numFmt w:val="bullet"/>
      <w:lvlText w:val=""/>
      <w:lvlJc w:val="left"/>
      <w:pPr>
        <w:tabs>
          <w:tab w:val="num" w:pos="4320"/>
        </w:tabs>
        <w:ind w:left="4320" w:hanging="360"/>
      </w:pPr>
      <w:rPr>
        <w:rFonts w:ascii="Symbol" w:hAnsi="Symbol" w:hint="default"/>
      </w:rPr>
    </w:lvl>
    <w:lvl w:ilvl="6" w:tplc="4184ED72" w:tentative="1">
      <w:start w:val="1"/>
      <w:numFmt w:val="bullet"/>
      <w:lvlText w:val=""/>
      <w:lvlJc w:val="left"/>
      <w:pPr>
        <w:tabs>
          <w:tab w:val="num" w:pos="5040"/>
        </w:tabs>
        <w:ind w:left="5040" w:hanging="360"/>
      </w:pPr>
      <w:rPr>
        <w:rFonts w:ascii="Symbol" w:hAnsi="Symbol" w:hint="default"/>
      </w:rPr>
    </w:lvl>
    <w:lvl w:ilvl="7" w:tplc="D11EFDE8" w:tentative="1">
      <w:start w:val="1"/>
      <w:numFmt w:val="bullet"/>
      <w:lvlText w:val=""/>
      <w:lvlJc w:val="left"/>
      <w:pPr>
        <w:tabs>
          <w:tab w:val="num" w:pos="5760"/>
        </w:tabs>
        <w:ind w:left="5760" w:hanging="360"/>
      </w:pPr>
      <w:rPr>
        <w:rFonts w:ascii="Symbol" w:hAnsi="Symbol" w:hint="default"/>
      </w:rPr>
    </w:lvl>
    <w:lvl w:ilvl="8" w:tplc="7BA4A51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E7F7D0B"/>
    <w:multiLevelType w:val="hybridMultilevel"/>
    <w:tmpl w:val="90A46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430960"/>
    <w:multiLevelType w:val="hybridMultilevel"/>
    <w:tmpl w:val="B1B4EF2A"/>
    <w:lvl w:ilvl="0" w:tplc="DC404142">
      <w:start w:val="1"/>
      <w:numFmt w:val="bullet"/>
      <w:lvlText w:val=""/>
      <w:lvlJc w:val="left"/>
      <w:pPr>
        <w:tabs>
          <w:tab w:val="num" w:pos="720"/>
        </w:tabs>
        <w:ind w:left="720" w:hanging="360"/>
      </w:pPr>
      <w:rPr>
        <w:rFonts w:ascii="Symbol" w:hAnsi="Symbol" w:hint="default"/>
      </w:rPr>
    </w:lvl>
    <w:lvl w:ilvl="1" w:tplc="0AF480A8" w:tentative="1">
      <w:start w:val="1"/>
      <w:numFmt w:val="bullet"/>
      <w:lvlText w:val=""/>
      <w:lvlJc w:val="left"/>
      <w:pPr>
        <w:tabs>
          <w:tab w:val="num" w:pos="1440"/>
        </w:tabs>
        <w:ind w:left="1440" w:hanging="360"/>
      </w:pPr>
      <w:rPr>
        <w:rFonts w:ascii="Symbol" w:hAnsi="Symbol" w:hint="default"/>
      </w:rPr>
    </w:lvl>
    <w:lvl w:ilvl="2" w:tplc="4606E986" w:tentative="1">
      <w:start w:val="1"/>
      <w:numFmt w:val="bullet"/>
      <w:lvlText w:val=""/>
      <w:lvlJc w:val="left"/>
      <w:pPr>
        <w:tabs>
          <w:tab w:val="num" w:pos="2160"/>
        </w:tabs>
        <w:ind w:left="2160" w:hanging="360"/>
      </w:pPr>
      <w:rPr>
        <w:rFonts w:ascii="Symbol" w:hAnsi="Symbol" w:hint="default"/>
      </w:rPr>
    </w:lvl>
    <w:lvl w:ilvl="3" w:tplc="41FCE5A4" w:tentative="1">
      <w:start w:val="1"/>
      <w:numFmt w:val="bullet"/>
      <w:lvlText w:val=""/>
      <w:lvlJc w:val="left"/>
      <w:pPr>
        <w:tabs>
          <w:tab w:val="num" w:pos="2880"/>
        </w:tabs>
        <w:ind w:left="2880" w:hanging="360"/>
      </w:pPr>
      <w:rPr>
        <w:rFonts w:ascii="Symbol" w:hAnsi="Symbol" w:hint="default"/>
      </w:rPr>
    </w:lvl>
    <w:lvl w:ilvl="4" w:tplc="40C08868" w:tentative="1">
      <w:start w:val="1"/>
      <w:numFmt w:val="bullet"/>
      <w:lvlText w:val=""/>
      <w:lvlJc w:val="left"/>
      <w:pPr>
        <w:tabs>
          <w:tab w:val="num" w:pos="3600"/>
        </w:tabs>
        <w:ind w:left="3600" w:hanging="360"/>
      </w:pPr>
      <w:rPr>
        <w:rFonts w:ascii="Symbol" w:hAnsi="Symbol" w:hint="default"/>
      </w:rPr>
    </w:lvl>
    <w:lvl w:ilvl="5" w:tplc="5F2C7FF2" w:tentative="1">
      <w:start w:val="1"/>
      <w:numFmt w:val="bullet"/>
      <w:lvlText w:val=""/>
      <w:lvlJc w:val="left"/>
      <w:pPr>
        <w:tabs>
          <w:tab w:val="num" w:pos="4320"/>
        </w:tabs>
        <w:ind w:left="4320" w:hanging="360"/>
      </w:pPr>
      <w:rPr>
        <w:rFonts w:ascii="Symbol" w:hAnsi="Symbol" w:hint="default"/>
      </w:rPr>
    </w:lvl>
    <w:lvl w:ilvl="6" w:tplc="0BC4AF44" w:tentative="1">
      <w:start w:val="1"/>
      <w:numFmt w:val="bullet"/>
      <w:lvlText w:val=""/>
      <w:lvlJc w:val="left"/>
      <w:pPr>
        <w:tabs>
          <w:tab w:val="num" w:pos="5040"/>
        </w:tabs>
        <w:ind w:left="5040" w:hanging="360"/>
      </w:pPr>
      <w:rPr>
        <w:rFonts w:ascii="Symbol" w:hAnsi="Symbol" w:hint="default"/>
      </w:rPr>
    </w:lvl>
    <w:lvl w:ilvl="7" w:tplc="7A0C9338" w:tentative="1">
      <w:start w:val="1"/>
      <w:numFmt w:val="bullet"/>
      <w:lvlText w:val=""/>
      <w:lvlJc w:val="left"/>
      <w:pPr>
        <w:tabs>
          <w:tab w:val="num" w:pos="5760"/>
        </w:tabs>
        <w:ind w:left="5760" w:hanging="360"/>
      </w:pPr>
      <w:rPr>
        <w:rFonts w:ascii="Symbol" w:hAnsi="Symbol" w:hint="default"/>
      </w:rPr>
    </w:lvl>
    <w:lvl w:ilvl="8" w:tplc="56D23AC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437DCC"/>
    <w:multiLevelType w:val="hybridMultilevel"/>
    <w:tmpl w:val="BD60870C"/>
    <w:lvl w:ilvl="0" w:tplc="5A827E90">
      <w:start w:val="1"/>
      <w:numFmt w:val="bullet"/>
      <w:lvlText w:val="•"/>
      <w:lvlJc w:val="left"/>
      <w:pPr>
        <w:tabs>
          <w:tab w:val="num" w:pos="720"/>
        </w:tabs>
        <w:ind w:left="720" w:hanging="360"/>
      </w:pPr>
      <w:rPr>
        <w:rFonts w:ascii="Arial" w:hAnsi="Arial" w:hint="default"/>
      </w:rPr>
    </w:lvl>
    <w:lvl w:ilvl="1" w:tplc="D256B4AC" w:tentative="1">
      <w:start w:val="1"/>
      <w:numFmt w:val="bullet"/>
      <w:lvlText w:val="•"/>
      <w:lvlJc w:val="left"/>
      <w:pPr>
        <w:tabs>
          <w:tab w:val="num" w:pos="1440"/>
        </w:tabs>
        <w:ind w:left="1440" w:hanging="360"/>
      </w:pPr>
      <w:rPr>
        <w:rFonts w:ascii="Arial" w:hAnsi="Arial" w:hint="default"/>
      </w:rPr>
    </w:lvl>
    <w:lvl w:ilvl="2" w:tplc="BD6447E4" w:tentative="1">
      <w:start w:val="1"/>
      <w:numFmt w:val="bullet"/>
      <w:lvlText w:val="•"/>
      <w:lvlJc w:val="left"/>
      <w:pPr>
        <w:tabs>
          <w:tab w:val="num" w:pos="2160"/>
        </w:tabs>
        <w:ind w:left="2160" w:hanging="360"/>
      </w:pPr>
      <w:rPr>
        <w:rFonts w:ascii="Arial" w:hAnsi="Arial" w:hint="default"/>
      </w:rPr>
    </w:lvl>
    <w:lvl w:ilvl="3" w:tplc="87F40F18" w:tentative="1">
      <w:start w:val="1"/>
      <w:numFmt w:val="bullet"/>
      <w:lvlText w:val="•"/>
      <w:lvlJc w:val="left"/>
      <w:pPr>
        <w:tabs>
          <w:tab w:val="num" w:pos="2880"/>
        </w:tabs>
        <w:ind w:left="2880" w:hanging="360"/>
      </w:pPr>
      <w:rPr>
        <w:rFonts w:ascii="Arial" w:hAnsi="Arial" w:hint="default"/>
      </w:rPr>
    </w:lvl>
    <w:lvl w:ilvl="4" w:tplc="7086601E" w:tentative="1">
      <w:start w:val="1"/>
      <w:numFmt w:val="bullet"/>
      <w:lvlText w:val="•"/>
      <w:lvlJc w:val="left"/>
      <w:pPr>
        <w:tabs>
          <w:tab w:val="num" w:pos="3600"/>
        </w:tabs>
        <w:ind w:left="3600" w:hanging="360"/>
      </w:pPr>
      <w:rPr>
        <w:rFonts w:ascii="Arial" w:hAnsi="Arial" w:hint="default"/>
      </w:rPr>
    </w:lvl>
    <w:lvl w:ilvl="5" w:tplc="DE80968A" w:tentative="1">
      <w:start w:val="1"/>
      <w:numFmt w:val="bullet"/>
      <w:lvlText w:val="•"/>
      <w:lvlJc w:val="left"/>
      <w:pPr>
        <w:tabs>
          <w:tab w:val="num" w:pos="4320"/>
        </w:tabs>
        <w:ind w:left="4320" w:hanging="360"/>
      </w:pPr>
      <w:rPr>
        <w:rFonts w:ascii="Arial" w:hAnsi="Arial" w:hint="default"/>
      </w:rPr>
    </w:lvl>
    <w:lvl w:ilvl="6" w:tplc="96164690" w:tentative="1">
      <w:start w:val="1"/>
      <w:numFmt w:val="bullet"/>
      <w:lvlText w:val="•"/>
      <w:lvlJc w:val="left"/>
      <w:pPr>
        <w:tabs>
          <w:tab w:val="num" w:pos="5040"/>
        </w:tabs>
        <w:ind w:left="5040" w:hanging="360"/>
      </w:pPr>
      <w:rPr>
        <w:rFonts w:ascii="Arial" w:hAnsi="Arial" w:hint="default"/>
      </w:rPr>
    </w:lvl>
    <w:lvl w:ilvl="7" w:tplc="6630AD90" w:tentative="1">
      <w:start w:val="1"/>
      <w:numFmt w:val="bullet"/>
      <w:lvlText w:val="•"/>
      <w:lvlJc w:val="left"/>
      <w:pPr>
        <w:tabs>
          <w:tab w:val="num" w:pos="5760"/>
        </w:tabs>
        <w:ind w:left="5760" w:hanging="360"/>
      </w:pPr>
      <w:rPr>
        <w:rFonts w:ascii="Arial" w:hAnsi="Arial" w:hint="default"/>
      </w:rPr>
    </w:lvl>
    <w:lvl w:ilvl="8" w:tplc="162E2F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5B40A3"/>
    <w:multiLevelType w:val="hybridMultilevel"/>
    <w:tmpl w:val="F18068F4"/>
    <w:lvl w:ilvl="0" w:tplc="F8266674">
      <w:start w:val="1"/>
      <w:numFmt w:val="bullet"/>
      <w:lvlText w:val=""/>
      <w:lvlJc w:val="left"/>
      <w:pPr>
        <w:tabs>
          <w:tab w:val="num" w:pos="720"/>
        </w:tabs>
        <w:ind w:left="720" w:hanging="360"/>
      </w:pPr>
      <w:rPr>
        <w:rFonts w:ascii="Symbol" w:hAnsi="Symbol" w:hint="default"/>
      </w:rPr>
    </w:lvl>
    <w:lvl w:ilvl="1" w:tplc="008C6DC0">
      <w:start w:val="1"/>
      <w:numFmt w:val="bullet"/>
      <w:lvlText w:val=""/>
      <w:lvlJc w:val="left"/>
      <w:pPr>
        <w:tabs>
          <w:tab w:val="num" w:pos="1440"/>
        </w:tabs>
        <w:ind w:left="1440" w:hanging="360"/>
      </w:pPr>
      <w:rPr>
        <w:rFonts w:ascii="Symbol" w:hAnsi="Symbol" w:hint="default"/>
      </w:rPr>
    </w:lvl>
    <w:lvl w:ilvl="2" w:tplc="DEEA41AA">
      <w:start w:val="1"/>
      <w:numFmt w:val="bullet"/>
      <w:lvlText w:val=""/>
      <w:lvlJc w:val="left"/>
      <w:pPr>
        <w:tabs>
          <w:tab w:val="num" w:pos="2160"/>
        </w:tabs>
        <w:ind w:left="2160" w:hanging="360"/>
      </w:pPr>
      <w:rPr>
        <w:rFonts w:ascii="Symbol" w:hAnsi="Symbol" w:hint="default"/>
      </w:rPr>
    </w:lvl>
    <w:lvl w:ilvl="3" w:tplc="7974DCD0">
      <w:start w:val="1"/>
      <w:numFmt w:val="bullet"/>
      <w:lvlText w:val=""/>
      <w:lvlJc w:val="left"/>
      <w:pPr>
        <w:tabs>
          <w:tab w:val="num" w:pos="2880"/>
        </w:tabs>
        <w:ind w:left="2880" w:hanging="360"/>
      </w:pPr>
      <w:rPr>
        <w:rFonts w:ascii="Symbol" w:hAnsi="Symbol" w:hint="default"/>
      </w:rPr>
    </w:lvl>
    <w:lvl w:ilvl="4" w:tplc="DAEE9C78">
      <w:start w:val="1"/>
      <w:numFmt w:val="bullet"/>
      <w:lvlText w:val=""/>
      <w:lvlJc w:val="left"/>
      <w:pPr>
        <w:tabs>
          <w:tab w:val="num" w:pos="3600"/>
        </w:tabs>
        <w:ind w:left="3600" w:hanging="360"/>
      </w:pPr>
      <w:rPr>
        <w:rFonts w:ascii="Symbol" w:hAnsi="Symbol" w:hint="default"/>
      </w:rPr>
    </w:lvl>
    <w:lvl w:ilvl="5" w:tplc="1C1CA2D4">
      <w:start w:val="1"/>
      <w:numFmt w:val="bullet"/>
      <w:lvlText w:val=""/>
      <w:lvlJc w:val="left"/>
      <w:pPr>
        <w:tabs>
          <w:tab w:val="num" w:pos="4320"/>
        </w:tabs>
        <w:ind w:left="4320" w:hanging="360"/>
      </w:pPr>
      <w:rPr>
        <w:rFonts w:ascii="Symbol" w:hAnsi="Symbol" w:hint="default"/>
      </w:rPr>
    </w:lvl>
    <w:lvl w:ilvl="6" w:tplc="26586480">
      <w:start w:val="1"/>
      <w:numFmt w:val="bullet"/>
      <w:lvlText w:val=""/>
      <w:lvlJc w:val="left"/>
      <w:pPr>
        <w:tabs>
          <w:tab w:val="num" w:pos="5040"/>
        </w:tabs>
        <w:ind w:left="5040" w:hanging="360"/>
      </w:pPr>
      <w:rPr>
        <w:rFonts w:ascii="Symbol" w:hAnsi="Symbol" w:hint="default"/>
      </w:rPr>
    </w:lvl>
    <w:lvl w:ilvl="7" w:tplc="F9CE1606">
      <w:start w:val="1"/>
      <w:numFmt w:val="bullet"/>
      <w:lvlText w:val=""/>
      <w:lvlJc w:val="left"/>
      <w:pPr>
        <w:tabs>
          <w:tab w:val="num" w:pos="5760"/>
        </w:tabs>
        <w:ind w:left="5760" w:hanging="360"/>
      </w:pPr>
      <w:rPr>
        <w:rFonts w:ascii="Symbol" w:hAnsi="Symbol" w:hint="default"/>
      </w:rPr>
    </w:lvl>
    <w:lvl w:ilvl="8" w:tplc="44D4E57A">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F264F68"/>
    <w:multiLevelType w:val="hybridMultilevel"/>
    <w:tmpl w:val="5EC4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17B12"/>
    <w:multiLevelType w:val="hybridMultilevel"/>
    <w:tmpl w:val="B050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C7D7F"/>
    <w:multiLevelType w:val="hybridMultilevel"/>
    <w:tmpl w:val="4D4A82E2"/>
    <w:lvl w:ilvl="0" w:tplc="0446756E">
      <w:start w:val="1"/>
      <w:numFmt w:val="bullet"/>
      <w:lvlText w:val=""/>
      <w:lvlJc w:val="left"/>
      <w:pPr>
        <w:tabs>
          <w:tab w:val="num" w:pos="720"/>
        </w:tabs>
        <w:ind w:left="720" w:hanging="360"/>
      </w:pPr>
      <w:rPr>
        <w:rFonts w:ascii="Symbol" w:hAnsi="Symbol" w:hint="default"/>
      </w:rPr>
    </w:lvl>
    <w:lvl w:ilvl="1" w:tplc="77F8CE16">
      <w:numFmt w:val="bullet"/>
      <w:lvlText w:val=""/>
      <w:lvlJc w:val="left"/>
      <w:pPr>
        <w:tabs>
          <w:tab w:val="num" w:pos="1440"/>
        </w:tabs>
        <w:ind w:left="1440" w:hanging="360"/>
      </w:pPr>
      <w:rPr>
        <w:rFonts w:ascii="Symbol" w:hAnsi="Symbol" w:hint="default"/>
      </w:rPr>
    </w:lvl>
    <w:lvl w:ilvl="2" w:tplc="C3D08018" w:tentative="1">
      <w:start w:val="1"/>
      <w:numFmt w:val="bullet"/>
      <w:lvlText w:val=""/>
      <w:lvlJc w:val="left"/>
      <w:pPr>
        <w:tabs>
          <w:tab w:val="num" w:pos="2160"/>
        </w:tabs>
        <w:ind w:left="2160" w:hanging="360"/>
      </w:pPr>
      <w:rPr>
        <w:rFonts w:ascii="Symbol" w:hAnsi="Symbol" w:hint="default"/>
      </w:rPr>
    </w:lvl>
    <w:lvl w:ilvl="3" w:tplc="9A32E11A" w:tentative="1">
      <w:start w:val="1"/>
      <w:numFmt w:val="bullet"/>
      <w:lvlText w:val=""/>
      <w:lvlJc w:val="left"/>
      <w:pPr>
        <w:tabs>
          <w:tab w:val="num" w:pos="2880"/>
        </w:tabs>
        <w:ind w:left="2880" w:hanging="360"/>
      </w:pPr>
      <w:rPr>
        <w:rFonts w:ascii="Symbol" w:hAnsi="Symbol" w:hint="default"/>
      </w:rPr>
    </w:lvl>
    <w:lvl w:ilvl="4" w:tplc="5616F540" w:tentative="1">
      <w:start w:val="1"/>
      <w:numFmt w:val="bullet"/>
      <w:lvlText w:val=""/>
      <w:lvlJc w:val="left"/>
      <w:pPr>
        <w:tabs>
          <w:tab w:val="num" w:pos="3600"/>
        </w:tabs>
        <w:ind w:left="3600" w:hanging="360"/>
      </w:pPr>
      <w:rPr>
        <w:rFonts w:ascii="Symbol" w:hAnsi="Symbol" w:hint="default"/>
      </w:rPr>
    </w:lvl>
    <w:lvl w:ilvl="5" w:tplc="60004910" w:tentative="1">
      <w:start w:val="1"/>
      <w:numFmt w:val="bullet"/>
      <w:lvlText w:val=""/>
      <w:lvlJc w:val="left"/>
      <w:pPr>
        <w:tabs>
          <w:tab w:val="num" w:pos="4320"/>
        </w:tabs>
        <w:ind w:left="4320" w:hanging="360"/>
      </w:pPr>
      <w:rPr>
        <w:rFonts w:ascii="Symbol" w:hAnsi="Symbol" w:hint="default"/>
      </w:rPr>
    </w:lvl>
    <w:lvl w:ilvl="6" w:tplc="3CA287FE" w:tentative="1">
      <w:start w:val="1"/>
      <w:numFmt w:val="bullet"/>
      <w:lvlText w:val=""/>
      <w:lvlJc w:val="left"/>
      <w:pPr>
        <w:tabs>
          <w:tab w:val="num" w:pos="5040"/>
        </w:tabs>
        <w:ind w:left="5040" w:hanging="360"/>
      </w:pPr>
      <w:rPr>
        <w:rFonts w:ascii="Symbol" w:hAnsi="Symbol" w:hint="default"/>
      </w:rPr>
    </w:lvl>
    <w:lvl w:ilvl="7" w:tplc="C38C66F4" w:tentative="1">
      <w:start w:val="1"/>
      <w:numFmt w:val="bullet"/>
      <w:lvlText w:val=""/>
      <w:lvlJc w:val="left"/>
      <w:pPr>
        <w:tabs>
          <w:tab w:val="num" w:pos="5760"/>
        </w:tabs>
        <w:ind w:left="5760" w:hanging="360"/>
      </w:pPr>
      <w:rPr>
        <w:rFonts w:ascii="Symbol" w:hAnsi="Symbol" w:hint="default"/>
      </w:rPr>
    </w:lvl>
    <w:lvl w:ilvl="8" w:tplc="0706AF4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1FB78F4"/>
    <w:multiLevelType w:val="hybridMultilevel"/>
    <w:tmpl w:val="0CCC530A"/>
    <w:lvl w:ilvl="0" w:tplc="1EF03A3C">
      <w:start w:val="3"/>
      <w:numFmt w:val="decimal"/>
      <w:lvlText w:val="%1."/>
      <w:lvlJc w:val="left"/>
      <w:pPr>
        <w:tabs>
          <w:tab w:val="num" w:pos="720"/>
        </w:tabs>
        <w:ind w:left="720" w:hanging="360"/>
      </w:pPr>
    </w:lvl>
    <w:lvl w:ilvl="1" w:tplc="5B2E66FC" w:tentative="1">
      <w:start w:val="1"/>
      <w:numFmt w:val="decimal"/>
      <w:lvlText w:val="%2."/>
      <w:lvlJc w:val="left"/>
      <w:pPr>
        <w:tabs>
          <w:tab w:val="num" w:pos="1440"/>
        </w:tabs>
        <w:ind w:left="1440" w:hanging="360"/>
      </w:pPr>
    </w:lvl>
    <w:lvl w:ilvl="2" w:tplc="546643D2" w:tentative="1">
      <w:start w:val="1"/>
      <w:numFmt w:val="decimal"/>
      <w:lvlText w:val="%3."/>
      <w:lvlJc w:val="left"/>
      <w:pPr>
        <w:tabs>
          <w:tab w:val="num" w:pos="2160"/>
        </w:tabs>
        <w:ind w:left="2160" w:hanging="360"/>
      </w:pPr>
    </w:lvl>
    <w:lvl w:ilvl="3" w:tplc="5A2CC48A" w:tentative="1">
      <w:start w:val="1"/>
      <w:numFmt w:val="decimal"/>
      <w:lvlText w:val="%4."/>
      <w:lvlJc w:val="left"/>
      <w:pPr>
        <w:tabs>
          <w:tab w:val="num" w:pos="2880"/>
        </w:tabs>
        <w:ind w:left="2880" w:hanging="360"/>
      </w:pPr>
    </w:lvl>
    <w:lvl w:ilvl="4" w:tplc="8738EDF4" w:tentative="1">
      <w:start w:val="1"/>
      <w:numFmt w:val="decimal"/>
      <w:lvlText w:val="%5."/>
      <w:lvlJc w:val="left"/>
      <w:pPr>
        <w:tabs>
          <w:tab w:val="num" w:pos="3600"/>
        </w:tabs>
        <w:ind w:left="3600" w:hanging="360"/>
      </w:pPr>
    </w:lvl>
    <w:lvl w:ilvl="5" w:tplc="3574FD76" w:tentative="1">
      <w:start w:val="1"/>
      <w:numFmt w:val="decimal"/>
      <w:lvlText w:val="%6."/>
      <w:lvlJc w:val="left"/>
      <w:pPr>
        <w:tabs>
          <w:tab w:val="num" w:pos="4320"/>
        </w:tabs>
        <w:ind w:left="4320" w:hanging="360"/>
      </w:pPr>
    </w:lvl>
    <w:lvl w:ilvl="6" w:tplc="300C8134" w:tentative="1">
      <w:start w:val="1"/>
      <w:numFmt w:val="decimal"/>
      <w:lvlText w:val="%7."/>
      <w:lvlJc w:val="left"/>
      <w:pPr>
        <w:tabs>
          <w:tab w:val="num" w:pos="5040"/>
        </w:tabs>
        <w:ind w:left="5040" w:hanging="360"/>
      </w:pPr>
    </w:lvl>
    <w:lvl w:ilvl="7" w:tplc="3EC68D0C" w:tentative="1">
      <w:start w:val="1"/>
      <w:numFmt w:val="decimal"/>
      <w:lvlText w:val="%8."/>
      <w:lvlJc w:val="left"/>
      <w:pPr>
        <w:tabs>
          <w:tab w:val="num" w:pos="5760"/>
        </w:tabs>
        <w:ind w:left="5760" w:hanging="360"/>
      </w:pPr>
    </w:lvl>
    <w:lvl w:ilvl="8" w:tplc="76ECD272" w:tentative="1">
      <w:start w:val="1"/>
      <w:numFmt w:val="decimal"/>
      <w:lvlText w:val="%9."/>
      <w:lvlJc w:val="left"/>
      <w:pPr>
        <w:tabs>
          <w:tab w:val="num" w:pos="6480"/>
        </w:tabs>
        <w:ind w:left="6480" w:hanging="360"/>
      </w:pPr>
    </w:lvl>
  </w:abstractNum>
  <w:abstractNum w:abstractNumId="22" w15:restartNumberingAfterBreak="0">
    <w:nsid w:val="4AE0312C"/>
    <w:multiLevelType w:val="hybridMultilevel"/>
    <w:tmpl w:val="1E8C6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45474"/>
    <w:multiLevelType w:val="hybridMultilevel"/>
    <w:tmpl w:val="65783FB8"/>
    <w:lvl w:ilvl="0" w:tplc="D01ECB14">
      <w:start w:val="1"/>
      <w:numFmt w:val="bullet"/>
      <w:lvlText w:val=""/>
      <w:lvlJc w:val="left"/>
      <w:pPr>
        <w:tabs>
          <w:tab w:val="num" w:pos="720"/>
        </w:tabs>
        <w:ind w:left="720" w:hanging="360"/>
      </w:pPr>
      <w:rPr>
        <w:rFonts w:ascii="Symbol" w:hAnsi="Symbol" w:hint="default"/>
      </w:rPr>
    </w:lvl>
    <w:lvl w:ilvl="1" w:tplc="79B81A7E">
      <w:numFmt w:val="bullet"/>
      <w:lvlText w:val=""/>
      <w:lvlJc w:val="left"/>
      <w:pPr>
        <w:tabs>
          <w:tab w:val="num" w:pos="1440"/>
        </w:tabs>
        <w:ind w:left="1440" w:hanging="360"/>
      </w:pPr>
      <w:rPr>
        <w:rFonts w:ascii="Symbol" w:hAnsi="Symbol" w:hint="default"/>
      </w:rPr>
    </w:lvl>
    <w:lvl w:ilvl="2" w:tplc="C4B4B20A" w:tentative="1">
      <w:start w:val="1"/>
      <w:numFmt w:val="bullet"/>
      <w:lvlText w:val=""/>
      <w:lvlJc w:val="left"/>
      <w:pPr>
        <w:tabs>
          <w:tab w:val="num" w:pos="2160"/>
        </w:tabs>
        <w:ind w:left="2160" w:hanging="360"/>
      </w:pPr>
      <w:rPr>
        <w:rFonts w:ascii="Symbol" w:hAnsi="Symbol" w:hint="default"/>
      </w:rPr>
    </w:lvl>
    <w:lvl w:ilvl="3" w:tplc="B434BF92" w:tentative="1">
      <w:start w:val="1"/>
      <w:numFmt w:val="bullet"/>
      <w:lvlText w:val=""/>
      <w:lvlJc w:val="left"/>
      <w:pPr>
        <w:tabs>
          <w:tab w:val="num" w:pos="2880"/>
        </w:tabs>
        <w:ind w:left="2880" w:hanging="360"/>
      </w:pPr>
      <w:rPr>
        <w:rFonts w:ascii="Symbol" w:hAnsi="Symbol" w:hint="default"/>
      </w:rPr>
    </w:lvl>
    <w:lvl w:ilvl="4" w:tplc="BC687C2E" w:tentative="1">
      <w:start w:val="1"/>
      <w:numFmt w:val="bullet"/>
      <w:lvlText w:val=""/>
      <w:lvlJc w:val="left"/>
      <w:pPr>
        <w:tabs>
          <w:tab w:val="num" w:pos="3600"/>
        </w:tabs>
        <w:ind w:left="3600" w:hanging="360"/>
      </w:pPr>
      <w:rPr>
        <w:rFonts w:ascii="Symbol" w:hAnsi="Symbol" w:hint="default"/>
      </w:rPr>
    </w:lvl>
    <w:lvl w:ilvl="5" w:tplc="70CA64B2" w:tentative="1">
      <w:start w:val="1"/>
      <w:numFmt w:val="bullet"/>
      <w:lvlText w:val=""/>
      <w:lvlJc w:val="left"/>
      <w:pPr>
        <w:tabs>
          <w:tab w:val="num" w:pos="4320"/>
        </w:tabs>
        <w:ind w:left="4320" w:hanging="360"/>
      </w:pPr>
      <w:rPr>
        <w:rFonts w:ascii="Symbol" w:hAnsi="Symbol" w:hint="default"/>
      </w:rPr>
    </w:lvl>
    <w:lvl w:ilvl="6" w:tplc="8D28C088" w:tentative="1">
      <w:start w:val="1"/>
      <w:numFmt w:val="bullet"/>
      <w:lvlText w:val=""/>
      <w:lvlJc w:val="left"/>
      <w:pPr>
        <w:tabs>
          <w:tab w:val="num" w:pos="5040"/>
        </w:tabs>
        <w:ind w:left="5040" w:hanging="360"/>
      </w:pPr>
      <w:rPr>
        <w:rFonts w:ascii="Symbol" w:hAnsi="Symbol" w:hint="default"/>
      </w:rPr>
    </w:lvl>
    <w:lvl w:ilvl="7" w:tplc="D9485DFA" w:tentative="1">
      <w:start w:val="1"/>
      <w:numFmt w:val="bullet"/>
      <w:lvlText w:val=""/>
      <w:lvlJc w:val="left"/>
      <w:pPr>
        <w:tabs>
          <w:tab w:val="num" w:pos="5760"/>
        </w:tabs>
        <w:ind w:left="5760" w:hanging="360"/>
      </w:pPr>
      <w:rPr>
        <w:rFonts w:ascii="Symbol" w:hAnsi="Symbol" w:hint="default"/>
      </w:rPr>
    </w:lvl>
    <w:lvl w:ilvl="8" w:tplc="B1B01AA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FE36BE3"/>
    <w:multiLevelType w:val="hybridMultilevel"/>
    <w:tmpl w:val="7904233C"/>
    <w:lvl w:ilvl="0" w:tplc="02DCFA2A">
      <w:start w:val="1"/>
      <w:numFmt w:val="bullet"/>
      <w:lvlText w:val=""/>
      <w:lvlJc w:val="left"/>
      <w:pPr>
        <w:tabs>
          <w:tab w:val="num" w:pos="720"/>
        </w:tabs>
        <w:ind w:left="720" w:hanging="360"/>
      </w:pPr>
      <w:rPr>
        <w:rFonts w:ascii="Symbol" w:hAnsi="Symbol" w:hint="default"/>
      </w:rPr>
    </w:lvl>
    <w:lvl w:ilvl="1" w:tplc="D5EE9AE4" w:tentative="1">
      <w:start w:val="1"/>
      <w:numFmt w:val="bullet"/>
      <w:lvlText w:val=""/>
      <w:lvlJc w:val="left"/>
      <w:pPr>
        <w:tabs>
          <w:tab w:val="num" w:pos="1440"/>
        </w:tabs>
        <w:ind w:left="1440" w:hanging="360"/>
      </w:pPr>
      <w:rPr>
        <w:rFonts w:ascii="Symbol" w:hAnsi="Symbol" w:hint="default"/>
      </w:rPr>
    </w:lvl>
    <w:lvl w:ilvl="2" w:tplc="9CDC0D64" w:tentative="1">
      <w:start w:val="1"/>
      <w:numFmt w:val="bullet"/>
      <w:lvlText w:val=""/>
      <w:lvlJc w:val="left"/>
      <w:pPr>
        <w:tabs>
          <w:tab w:val="num" w:pos="2160"/>
        </w:tabs>
        <w:ind w:left="2160" w:hanging="360"/>
      </w:pPr>
      <w:rPr>
        <w:rFonts w:ascii="Symbol" w:hAnsi="Symbol" w:hint="default"/>
      </w:rPr>
    </w:lvl>
    <w:lvl w:ilvl="3" w:tplc="1A802410" w:tentative="1">
      <w:start w:val="1"/>
      <w:numFmt w:val="bullet"/>
      <w:lvlText w:val=""/>
      <w:lvlJc w:val="left"/>
      <w:pPr>
        <w:tabs>
          <w:tab w:val="num" w:pos="2880"/>
        </w:tabs>
        <w:ind w:left="2880" w:hanging="360"/>
      </w:pPr>
      <w:rPr>
        <w:rFonts w:ascii="Symbol" w:hAnsi="Symbol" w:hint="default"/>
      </w:rPr>
    </w:lvl>
    <w:lvl w:ilvl="4" w:tplc="E954F43C" w:tentative="1">
      <w:start w:val="1"/>
      <w:numFmt w:val="bullet"/>
      <w:lvlText w:val=""/>
      <w:lvlJc w:val="left"/>
      <w:pPr>
        <w:tabs>
          <w:tab w:val="num" w:pos="3600"/>
        </w:tabs>
        <w:ind w:left="3600" w:hanging="360"/>
      </w:pPr>
      <w:rPr>
        <w:rFonts w:ascii="Symbol" w:hAnsi="Symbol" w:hint="default"/>
      </w:rPr>
    </w:lvl>
    <w:lvl w:ilvl="5" w:tplc="2B22FCC6" w:tentative="1">
      <w:start w:val="1"/>
      <w:numFmt w:val="bullet"/>
      <w:lvlText w:val=""/>
      <w:lvlJc w:val="left"/>
      <w:pPr>
        <w:tabs>
          <w:tab w:val="num" w:pos="4320"/>
        </w:tabs>
        <w:ind w:left="4320" w:hanging="360"/>
      </w:pPr>
      <w:rPr>
        <w:rFonts w:ascii="Symbol" w:hAnsi="Symbol" w:hint="default"/>
      </w:rPr>
    </w:lvl>
    <w:lvl w:ilvl="6" w:tplc="BBD8DE84" w:tentative="1">
      <w:start w:val="1"/>
      <w:numFmt w:val="bullet"/>
      <w:lvlText w:val=""/>
      <w:lvlJc w:val="left"/>
      <w:pPr>
        <w:tabs>
          <w:tab w:val="num" w:pos="5040"/>
        </w:tabs>
        <w:ind w:left="5040" w:hanging="360"/>
      </w:pPr>
      <w:rPr>
        <w:rFonts w:ascii="Symbol" w:hAnsi="Symbol" w:hint="default"/>
      </w:rPr>
    </w:lvl>
    <w:lvl w:ilvl="7" w:tplc="0630C316" w:tentative="1">
      <w:start w:val="1"/>
      <w:numFmt w:val="bullet"/>
      <w:lvlText w:val=""/>
      <w:lvlJc w:val="left"/>
      <w:pPr>
        <w:tabs>
          <w:tab w:val="num" w:pos="5760"/>
        </w:tabs>
        <w:ind w:left="5760" w:hanging="360"/>
      </w:pPr>
      <w:rPr>
        <w:rFonts w:ascii="Symbol" w:hAnsi="Symbol" w:hint="default"/>
      </w:rPr>
    </w:lvl>
    <w:lvl w:ilvl="8" w:tplc="CB22801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650769A"/>
    <w:multiLevelType w:val="hybridMultilevel"/>
    <w:tmpl w:val="7BF611B6"/>
    <w:lvl w:ilvl="0" w:tplc="4612ABF8">
      <w:start w:val="1"/>
      <w:numFmt w:val="bullet"/>
      <w:lvlText w:val=""/>
      <w:lvlJc w:val="left"/>
      <w:pPr>
        <w:tabs>
          <w:tab w:val="num" w:pos="720"/>
        </w:tabs>
        <w:ind w:left="720" w:hanging="360"/>
      </w:pPr>
      <w:rPr>
        <w:rFonts w:ascii="Symbol" w:hAnsi="Symbol" w:hint="default"/>
      </w:rPr>
    </w:lvl>
    <w:lvl w:ilvl="1" w:tplc="2AD6D838">
      <w:start w:val="1"/>
      <w:numFmt w:val="bullet"/>
      <w:lvlText w:val="•"/>
      <w:lvlJc w:val="left"/>
      <w:pPr>
        <w:tabs>
          <w:tab w:val="num" w:pos="1440"/>
        </w:tabs>
        <w:ind w:left="1440" w:hanging="360"/>
      </w:pPr>
      <w:rPr>
        <w:rFonts w:ascii="Arial" w:hAnsi="Arial" w:hint="default"/>
      </w:rPr>
    </w:lvl>
    <w:lvl w:ilvl="2" w:tplc="82AEB568" w:tentative="1">
      <w:start w:val="1"/>
      <w:numFmt w:val="bullet"/>
      <w:lvlText w:val="•"/>
      <w:lvlJc w:val="left"/>
      <w:pPr>
        <w:tabs>
          <w:tab w:val="num" w:pos="2160"/>
        </w:tabs>
        <w:ind w:left="2160" w:hanging="360"/>
      </w:pPr>
      <w:rPr>
        <w:rFonts w:ascii="Arial" w:hAnsi="Arial" w:hint="default"/>
      </w:rPr>
    </w:lvl>
    <w:lvl w:ilvl="3" w:tplc="E9E0B480" w:tentative="1">
      <w:start w:val="1"/>
      <w:numFmt w:val="bullet"/>
      <w:lvlText w:val="•"/>
      <w:lvlJc w:val="left"/>
      <w:pPr>
        <w:tabs>
          <w:tab w:val="num" w:pos="2880"/>
        </w:tabs>
        <w:ind w:left="2880" w:hanging="360"/>
      </w:pPr>
      <w:rPr>
        <w:rFonts w:ascii="Arial" w:hAnsi="Arial" w:hint="default"/>
      </w:rPr>
    </w:lvl>
    <w:lvl w:ilvl="4" w:tplc="42FC4C94" w:tentative="1">
      <w:start w:val="1"/>
      <w:numFmt w:val="bullet"/>
      <w:lvlText w:val="•"/>
      <w:lvlJc w:val="left"/>
      <w:pPr>
        <w:tabs>
          <w:tab w:val="num" w:pos="3600"/>
        </w:tabs>
        <w:ind w:left="3600" w:hanging="360"/>
      </w:pPr>
      <w:rPr>
        <w:rFonts w:ascii="Arial" w:hAnsi="Arial" w:hint="default"/>
      </w:rPr>
    </w:lvl>
    <w:lvl w:ilvl="5" w:tplc="31668ED0" w:tentative="1">
      <w:start w:val="1"/>
      <w:numFmt w:val="bullet"/>
      <w:lvlText w:val="•"/>
      <w:lvlJc w:val="left"/>
      <w:pPr>
        <w:tabs>
          <w:tab w:val="num" w:pos="4320"/>
        </w:tabs>
        <w:ind w:left="4320" w:hanging="360"/>
      </w:pPr>
      <w:rPr>
        <w:rFonts w:ascii="Arial" w:hAnsi="Arial" w:hint="default"/>
      </w:rPr>
    </w:lvl>
    <w:lvl w:ilvl="6" w:tplc="354400CC" w:tentative="1">
      <w:start w:val="1"/>
      <w:numFmt w:val="bullet"/>
      <w:lvlText w:val="•"/>
      <w:lvlJc w:val="left"/>
      <w:pPr>
        <w:tabs>
          <w:tab w:val="num" w:pos="5040"/>
        </w:tabs>
        <w:ind w:left="5040" w:hanging="360"/>
      </w:pPr>
      <w:rPr>
        <w:rFonts w:ascii="Arial" w:hAnsi="Arial" w:hint="default"/>
      </w:rPr>
    </w:lvl>
    <w:lvl w:ilvl="7" w:tplc="E5F691A2" w:tentative="1">
      <w:start w:val="1"/>
      <w:numFmt w:val="bullet"/>
      <w:lvlText w:val="•"/>
      <w:lvlJc w:val="left"/>
      <w:pPr>
        <w:tabs>
          <w:tab w:val="num" w:pos="5760"/>
        </w:tabs>
        <w:ind w:left="5760" w:hanging="360"/>
      </w:pPr>
      <w:rPr>
        <w:rFonts w:ascii="Arial" w:hAnsi="Arial" w:hint="default"/>
      </w:rPr>
    </w:lvl>
    <w:lvl w:ilvl="8" w:tplc="8CAAF8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816F94"/>
    <w:multiLevelType w:val="hybridMultilevel"/>
    <w:tmpl w:val="A8BC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C93D14"/>
    <w:multiLevelType w:val="hybridMultilevel"/>
    <w:tmpl w:val="4A20F9FA"/>
    <w:lvl w:ilvl="0" w:tplc="AA9A8AE4">
      <w:start w:val="1"/>
      <w:numFmt w:val="decimal"/>
      <w:pStyle w:val="Paragraph"/>
      <w:lvlText w:val="%1."/>
      <w:lvlJc w:val="left"/>
      <w:pPr>
        <w:ind w:left="851" w:hanging="851"/>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A1F1768"/>
    <w:multiLevelType w:val="hybridMultilevel"/>
    <w:tmpl w:val="26B8EB24"/>
    <w:lvl w:ilvl="0" w:tplc="7E9239D2">
      <w:start w:val="1"/>
      <w:numFmt w:val="decimal"/>
      <w:lvlText w:val="%1."/>
      <w:lvlJc w:val="left"/>
      <w:pPr>
        <w:tabs>
          <w:tab w:val="num" w:pos="720"/>
        </w:tabs>
        <w:ind w:left="720" w:hanging="360"/>
      </w:pPr>
    </w:lvl>
    <w:lvl w:ilvl="1" w:tplc="8E7833F6" w:tentative="1">
      <w:start w:val="1"/>
      <w:numFmt w:val="decimal"/>
      <w:lvlText w:val="%2."/>
      <w:lvlJc w:val="left"/>
      <w:pPr>
        <w:tabs>
          <w:tab w:val="num" w:pos="1440"/>
        </w:tabs>
        <w:ind w:left="1440" w:hanging="360"/>
      </w:pPr>
    </w:lvl>
    <w:lvl w:ilvl="2" w:tplc="E098B8C6" w:tentative="1">
      <w:start w:val="1"/>
      <w:numFmt w:val="decimal"/>
      <w:lvlText w:val="%3."/>
      <w:lvlJc w:val="left"/>
      <w:pPr>
        <w:tabs>
          <w:tab w:val="num" w:pos="2160"/>
        </w:tabs>
        <w:ind w:left="2160" w:hanging="360"/>
      </w:pPr>
    </w:lvl>
    <w:lvl w:ilvl="3" w:tplc="38580C5C" w:tentative="1">
      <w:start w:val="1"/>
      <w:numFmt w:val="decimal"/>
      <w:lvlText w:val="%4."/>
      <w:lvlJc w:val="left"/>
      <w:pPr>
        <w:tabs>
          <w:tab w:val="num" w:pos="2880"/>
        </w:tabs>
        <w:ind w:left="2880" w:hanging="360"/>
      </w:pPr>
    </w:lvl>
    <w:lvl w:ilvl="4" w:tplc="6B96D6BC" w:tentative="1">
      <w:start w:val="1"/>
      <w:numFmt w:val="decimal"/>
      <w:lvlText w:val="%5."/>
      <w:lvlJc w:val="left"/>
      <w:pPr>
        <w:tabs>
          <w:tab w:val="num" w:pos="3600"/>
        </w:tabs>
        <w:ind w:left="3600" w:hanging="360"/>
      </w:pPr>
    </w:lvl>
    <w:lvl w:ilvl="5" w:tplc="8932C372" w:tentative="1">
      <w:start w:val="1"/>
      <w:numFmt w:val="decimal"/>
      <w:lvlText w:val="%6."/>
      <w:lvlJc w:val="left"/>
      <w:pPr>
        <w:tabs>
          <w:tab w:val="num" w:pos="4320"/>
        </w:tabs>
        <w:ind w:left="4320" w:hanging="360"/>
      </w:pPr>
    </w:lvl>
    <w:lvl w:ilvl="6" w:tplc="7E0C39DC" w:tentative="1">
      <w:start w:val="1"/>
      <w:numFmt w:val="decimal"/>
      <w:lvlText w:val="%7."/>
      <w:lvlJc w:val="left"/>
      <w:pPr>
        <w:tabs>
          <w:tab w:val="num" w:pos="5040"/>
        </w:tabs>
        <w:ind w:left="5040" w:hanging="360"/>
      </w:pPr>
    </w:lvl>
    <w:lvl w:ilvl="7" w:tplc="3D38FDE2" w:tentative="1">
      <w:start w:val="1"/>
      <w:numFmt w:val="decimal"/>
      <w:lvlText w:val="%8."/>
      <w:lvlJc w:val="left"/>
      <w:pPr>
        <w:tabs>
          <w:tab w:val="num" w:pos="5760"/>
        </w:tabs>
        <w:ind w:left="5760" w:hanging="360"/>
      </w:pPr>
    </w:lvl>
    <w:lvl w:ilvl="8" w:tplc="617E87A4" w:tentative="1">
      <w:start w:val="1"/>
      <w:numFmt w:val="decimal"/>
      <w:lvlText w:val="%9."/>
      <w:lvlJc w:val="left"/>
      <w:pPr>
        <w:tabs>
          <w:tab w:val="num" w:pos="6480"/>
        </w:tabs>
        <w:ind w:left="6480" w:hanging="360"/>
      </w:pPr>
    </w:lvl>
  </w:abstractNum>
  <w:abstractNum w:abstractNumId="29" w15:restartNumberingAfterBreak="0">
    <w:nsid w:val="5B8B37DB"/>
    <w:multiLevelType w:val="hybridMultilevel"/>
    <w:tmpl w:val="F7F2947A"/>
    <w:lvl w:ilvl="0" w:tplc="7096AE44">
      <w:start w:val="1"/>
      <w:numFmt w:val="bullet"/>
      <w:lvlText w:val=""/>
      <w:lvlJc w:val="left"/>
      <w:pPr>
        <w:tabs>
          <w:tab w:val="num" w:pos="720"/>
        </w:tabs>
        <w:ind w:left="720" w:hanging="360"/>
      </w:pPr>
      <w:rPr>
        <w:rFonts w:ascii="Symbol" w:hAnsi="Symbol" w:hint="default"/>
      </w:rPr>
    </w:lvl>
    <w:lvl w:ilvl="1" w:tplc="0CC0748C" w:tentative="1">
      <w:start w:val="1"/>
      <w:numFmt w:val="bullet"/>
      <w:lvlText w:val=""/>
      <w:lvlJc w:val="left"/>
      <w:pPr>
        <w:tabs>
          <w:tab w:val="num" w:pos="1440"/>
        </w:tabs>
        <w:ind w:left="1440" w:hanging="360"/>
      </w:pPr>
      <w:rPr>
        <w:rFonts w:ascii="Symbol" w:hAnsi="Symbol" w:hint="default"/>
      </w:rPr>
    </w:lvl>
    <w:lvl w:ilvl="2" w:tplc="C2B07E68" w:tentative="1">
      <w:start w:val="1"/>
      <w:numFmt w:val="bullet"/>
      <w:lvlText w:val=""/>
      <w:lvlJc w:val="left"/>
      <w:pPr>
        <w:tabs>
          <w:tab w:val="num" w:pos="2160"/>
        </w:tabs>
        <w:ind w:left="2160" w:hanging="360"/>
      </w:pPr>
      <w:rPr>
        <w:rFonts w:ascii="Symbol" w:hAnsi="Symbol" w:hint="default"/>
      </w:rPr>
    </w:lvl>
    <w:lvl w:ilvl="3" w:tplc="BA388816" w:tentative="1">
      <w:start w:val="1"/>
      <w:numFmt w:val="bullet"/>
      <w:lvlText w:val=""/>
      <w:lvlJc w:val="left"/>
      <w:pPr>
        <w:tabs>
          <w:tab w:val="num" w:pos="2880"/>
        </w:tabs>
        <w:ind w:left="2880" w:hanging="360"/>
      </w:pPr>
      <w:rPr>
        <w:rFonts w:ascii="Symbol" w:hAnsi="Symbol" w:hint="default"/>
      </w:rPr>
    </w:lvl>
    <w:lvl w:ilvl="4" w:tplc="35DA3DCE" w:tentative="1">
      <w:start w:val="1"/>
      <w:numFmt w:val="bullet"/>
      <w:lvlText w:val=""/>
      <w:lvlJc w:val="left"/>
      <w:pPr>
        <w:tabs>
          <w:tab w:val="num" w:pos="3600"/>
        </w:tabs>
        <w:ind w:left="3600" w:hanging="360"/>
      </w:pPr>
      <w:rPr>
        <w:rFonts w:ascii="Symbol" w:hAnsi="Symbol" w:hint="default"/>
      </w:rPr>
    </w:lvl>
    <w:lvl w:ilvl="5" w:tplc="65A25D28" w:tentative="1">
      <w:start w:val="1"/>
      <w:numFmt w:val="bullet"/>
      <w:lvlText w:val=""/>
      <w:lvlJc w:val="left"/>
      <w:pPr>
        <w:tabs>
          <w:tab w:val="num" w:pos="4320"/>
        </w:tabs>
        <w:ind w:left="4320" w:hanging="360"/>
      </w:pPr>
      <w:rPr>
        <w:rFonts w:ascii="Symbol" w:hAnsi="Symbol" w:hint="default"/>
      </w:rPr>
    </w:lvl>
    <w:lvl w:ilvl="6" w:tplc="4BC8CEE2" w:tentative="1">
      <w:start w:val="1"/>
      <w:numFmt w:val="bullet"/>
      <w:lvlText w:val=""/>
      <w:lvlJc w:val="left"/>
      <w:pPr>
        <w:tabs>
          <w:tab w:val="num" w:pos="5040"/>
        </w:tabs>
        <w:ind w:left="5040" w:hanging="360"/>
      </w:pPr>
      <w:rPr>
        <w:rFonts w:ascii="Symbol" w:hAnsi="Symbol" w:hint="default"/>
      </w:rPr>
    </w:lvl>
    <w:lvl w:ilvl="7" w:tplc="4DB0AFBA" w:tentative="1">
      <w:start w:val="1"/>
      <w:numFmt w:val="bullet"/>
      <w:lvlText w:val=""/>
      <w:lvlJc w:val="left"/>
      <w:pPr>
        <w:tabs>
          <w:tab w:val="num" w:pos="5760"/>
        </w:tabs>
        <w:ind w:left="5760" w:hanging="360"/>
      </w:pPr>
      <w:rPr>
        <w:rFonts w:ascii="Symbol" w:hAnsi="Symbol" w:hint="default"/>
      </w:rPr>
    </w:lvl>
    <w:lvl w:ilvl="8" w:tplc="E648DDD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E94684"/>
    <w:multiLevelType w:val="hybridMultilevel"/>
    <w:tmpl w:val="F9026570"/>
    <w:lvl w:ilvl="0" w:tplc="F9AE26CA">
      <w:start w:val="1"/>
      <w:numFmt w:val="bullet"/>
      <w:lvlText w:val="•"/>
      <w:lvlJc w:val="left"/>
      <w:pPr>
        <w:tabs>
          <w:tab w:val="num" w:pos="720"/>
        </w:tabs>
        <w:ind w:left="720" w:hanging="360"/>
      </w:pPr>
      <w:rPr>
        <w:rFonts w:ascii="Arial" w:hAnsi="Arial" w:hint="default"/>
      </w:rPr>
    </w:lvl>
    <w:lvl w:ilvl="1" w:tplc="86C49990" w:tentative="1">
      <w:start w:val="1"/>
      <w:numFmt w:val="bullet"/>
      <w:lvlText w:val="•"/>
      <w:lvlJc w:val="left"/>
      <w:pPr>
        <w:tabs>
          <w:tab w:val="num" w:pos="1440"/>
        </w:tabs>
        <w:ind w:left="1440" w:hanging="360"/>
      </w:pPr>
      <w:rPr>
        <w:rFonts w:ascii="Arial" w:hAnsi="Arial" w:hint="default"/>
      </w:rPr>
    </w:lvl>
    <w:lvl w:ilvl="2" w:tplc="CFCEBAA4" w:tentative="1">
      <w:start w:val="1"/>
      <w:numFmt w:val="bullet"/>
      <w:lvlText w:val="•"/>
      <w:lvlJc w:val="left"/>
      <w:pPr>
        <w:tabs>
          <w:tab w:val="num" w:pos="2160"/>
        </w:tabs>
        <w:ind w:left="2160" w:hanging="360"/>
      </w:pPr>
      <w:rPr>
        <w:rFonts w:ascii="Arial" w:hAnsi="Arial" w:hint="default"/>
      </w:rPr>
    </w:lvl>
    <w:lvl w:ilvl="3" w:tplc="B120C1FC" w:tentative="1">
      <w:start w:val="1"/>
      <w:numFmt w:val="bullet"/>
      <w:lvlText w:val="•"/>
      <w:lvlJc w:val="left"/>
      <w:pPr>
        <w:tabs>
          <w:tab w:val="num" w:pos="2880"/>
        </w:tabs>
        <w:ind w:left="2880" w:hanging="360"/>
      </w:pPr>
      <w:rPr>
        <w:rFonts w:ascii="Arial" w:hAnsi="Arial" w:hint="default"/>
      </w:rPr>
    </w:lvl>
    <w:lvl w:ilvl="4" w:tplc="54BAF836" w:tentative="1">
      <w:start w:val="1"/>
      <w:numFmt w:val="bullet"/>
      <w:lvlText w:val="•"/>
      <w:lvlJc w:val="left"/>
      <w:pPr>
        <w:tabs>
          <w:tab w:val="num" w:pos="3600"/>
        </w:tabs>
        <w:ind w:left="3600" w:hanging="360"/>
      </w:pPr>
      <w:rPr>
        <w:rFonts w:ascii="Arial" w:hAnsi="Arial" w:hint="default"/>
      </w:rPr>
    </w:lvl>
    <w:lvl w:ilvl="5" w:tplc="D70C7726" w:tentative="1">
      <w:start w:val="1"/>
      <w:numFmt w:val="bullet"/>
      <w:lvlText w:val="•"/>
      <w:lvlJc w:val="left"/>
      <w:pPr>
        <w:tabs>
          <w:tab w:val="num" w:pos="4320"/>
        </w:tabs>
        <w:ind w:left="4320" w:hanging="360"/>
      </w:pPr>
      <w:rPr>
        <w:rFonts w:ascii="Arial" w:hAnsi="Arial" w:hint="default"/>
      </w:rPr>
    </w:lvl>
    <w:lvl w:ilvl="6" w:tplc="60DAFE28" w:tentative="1">
      <w:start w:val="1"/>
      <w:numFmt w:val="bullet"/>
      <w:lvlText w:val="•"/>
      <w:lvlJc w:val="left"/>
      <w:pPr>
        <w:tabs>
          <w:tab w:val="num" w:pos="5040"/>
        </w:tabs>
        <w:ind w:left="5040" w:hanging="360"/>
      </w:pPr>
      <w:rPr>
        <w:rFonts w:ascii="Arial" w:hAnsi="Arial" w:hint="default"/>
      </w:rPr>
    </w:lvl>
    <w:lvl w:ilvl="7" w:tplc="E06C0DCC" w:tentative="1">
      <w:start w:val="1"/>
      <w:numFmt w:val="bullet"/>
      <w:lvlText w:val="•"/>
      <w:lvlJc w:val="left"/>
      <w:pPr>
        <w:tabs>
          <w:tab w:val="num" w:pos="5760"/>
        </w:tabs>
        <w:ind w:left="5760" w:hanging="360"/>
      </w:pPr>
      <w:rPr>
        <w:rFonts w:ascii="Arial" w:hAnsi="Arial" w:hint="default"/>
      </w:rPr>
    </w:lvl>
    <w:lvl w:ilvl="8" w:tplc="93A0FE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A80BF1"/>
    <w:multiLevelType w:val="hybridMultilevel"/>
    <w:tmpl w:val="BF548956"/>
    <w:lvl w:ilvl="0" w:tplc="2DDEF008">
      <w:start w:val="1"/>
      <w:numFmt w:val="bullet"/>
      <w:lvlText w:val="•"/>
      <w:lvlJc w:val="left"/>
      <w:pPr>
        <w:tabs>
          <w:tab w:val="num" w:pos="720"/>
        </w:tabs>
        <w:ind w:left="720" w:hanging="360"/>
      </w:pPr>
      <w:rPr>
        <w:rFonts w:ascii="Arial" w:hAnsi="Arial" w:hint="default"/>
      </w:rPr>
    </w:lvl>
    <w:lvl w:ilvl="1" w:tplc="EB1C2A12" w:tentative="1">
      <w:start w:val="1"/>
      <w:numFmt w:val="bullet"/>
      <w:lvlText w:val="•"/>
      <w:lvlJc w:val="left"/>
      <w:pPr>
        <w:tabs>
          <w:tab w:val="num" w:pos="1440"/>
        </w:tabs>
        <w:ind w:left="1440" w:hanging="360"/>
      </w:pPr>
      <w:rPr>
        <w:rFonts w:ascii="Arial" w:hAnsi="Arial" w:hint="default"/>
      </w:rPr>
    </w:lvl>
    <w:lvl w:ilvl="2" w:tplc="5CF46FB2" w:tentative="1">
      <w:start w:val="1"/>
      <w:numFmt w:val="bullet"/>
      <w:lvlText w:val="•"/>
      <w:lvlJc w:val="left"/>
      <w:pPr>
        <w:tabs>
          <w:tab w:val="num" w:pos="2160"/>
        </w:tabs>
        <w:ind w:left="2160" w:hanging="360"/>
      </w:pPr>
      <w:rPr>
        <w:rFonts w:ascii="Arial" w:hAnsi="Arial" w:hint="default"/>
      </w:rPr>
    </w:lvl>
    <w:lvl w:ilvl="3" w:tplc="62665418" w:tentative="1">
      <w:start w:val="1"/>
      <w:numFmt w:val="bullet"/>
      <w:lvlText w:val="•"/>
      <w:lvlJc w:val="left"/>
      <w:pPr>
        <w:tabs>
          <w:tab w:val="num" w:pos="2880"/>
        </w:tabs>
        <w:ind w:left="2880" w:hanging="360"/>
      </w:pPr>
      <w:rPr>
        <w:rFonts w:ascii="Arial" w:hAnsi="Arial" w:hint="default"/>
      </w:rPr>
    </w:lvl>
    <w:lvl w:ilvl="4" w:tplc="AD04E5EE" w:tentative="1">
      <w:start w:val="1"/>
      <w:numFmt w:val="bullet"/>
      <w:lvlText w:val="•"/>
      <w:lvlJc w:val="left"/>
      <w:pPr>
        <w:tabs>
          <w:tab w:val="num" w:pos="3600"/>
        </w:tabs>
        <w:ind w:left="3600" w:hanging="360"/>
      </w:pPr>
      <w:rPr>
        <w:rFonts w:ascii="Arial" w:hAnsi="Arial" w:hint="default"/>
      </w:rPr>
    </w:lvl>
    <w:lvl w:ilvl="5" w:tplc="A0BA76BA" w:tentative="1">
      <w:start w:val="1"/>
      <w:numFmt w:val="bullet"/>
      <w:lvlText w:val="•"/>
      <w:lvlJc w:val="left"/>
      <w:pPr>
        <w:tabs>
          <w:tab w:val="num" w:pos="4320"/>
        </w:tabs>
        <w:ind w:left="4320" w:hanging="360"/>
      </w:pPr>
      <w:rPr>
        <w:rFonts w:ascii="Arial" w:hAnsi="Arial" w:hint="default"/>
      </w:rPr>
    </w:lvl>
    <w:lvl w:ilvl="6" w:tplc="564AB3BE" w:tentative="1">
      <w:start w:val="1"/>
      <w:numFmt w:val="bullet"/>
      <w:lvlText w:val="•"/>
      <w:lvlJc w:val="left"/>
      <w:pPr>
        <w:tabs>
          <w:tab w:val="num" w:pos="5040"/>
        </w:tabs>
        <w:ind w:left="5040" w:hanging="360"/>
      </w:pPr>
      <w:rPr>
        <w:rFonts w:ascii="Arial" w:hAnsi="Arial" w:hint="default"/>
      </w:rPr>
    </w:lvl>
    <w:lvl w:ilvl="7" w:tplc="2F7E5A0E" w:tentative="1">
      <w:start w:val="1"/>
      <w:numFmt w:val="bullet"/>
      <w:lvlText w:val="•"/>
      <w:lvlJc w:val="left"/>
      <w:pPr>
        <w:tabs>
          <w:tab w:val="num" w:pos="5760"/>
        </w:tabs>
        <w:ind w:left="5760" w:hanging="360"/>
      </w:pPr>
      <w:rPr>
        <w:rFonts w:ascii="Arial" w:hAnsi="Arial" w:hint="default"/>
      </w:rPr>
    </w:lvl>
    <w:lvl w:ilvl="8" w:tplc="54C0A22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75538B"/>
    <w:multiLevelType w:val="hybridMultilevel"/>
    <w:tmpl w:val="95AC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96CD1"/>
    <w:multiLevelType w:val="hybridMultilevel"/>
    <w:tmpl w:val="DA3492E4"/>
    <w:lvl w:ilvl="0" w:tplc="ABF2D700">
      <w:start w:val="1"/>
      <w:numFmt w:val="bullet"/>
      <w:lvlText w:val="•"/>
      <w:lvlJc w:val="left"/>
      <w:pPr>
        <w:tabs>
          <w:tab w:val="num" w:pos="720"/>
        </w:tabs>
        <w:ind w:left="720" w:hanging="360"/>
      </w:pPr>
      <w:rPr>
        <w:rFonts w:ascii="Arial" w:hAnsi="Arial" w:hint="default"/>
      </w:rPr>
    </w:lvl>
    <w:lvl w:ilvl="1" w:tplc="AFE0988A" w:tentative="1">
      <w:start w:val="1"/>
      <w:numFmt w:val="bullet"/>
      <w:lvlText w:val="•"/>
      <w:lvlJc w:val="left"/>
      <w:pPr>
        <w:tabs>
          <w:tab w:val="num" w:pos="1440"/>
        </w:tabs>
        <w:ind w:left="1440" w:hanging="360"/>
      </w:pPr>
      <w:rPr>
        <w:rFonts w:ascii="Arial" w:hAnsi="Arial" w:hint="default"/>
      </w:rPr>
    </w:lvl>
    <w:lvl w:ilvl="2" w:tplc="4F76F076" w:tentative="1">
      <w:start w:val="1"/>
      <w:numFmt w:val="bullet"/>
      <w:lvlText w:val="•"/>
      <w:lvlJc w:val="left"/>
      <w:pPr>
        <w:tabs>
          <w:tab w:val="num" w:pos="2160"/>
        </w:tabs>
        <w:ind w:left="2160" w:hanging="360"/>
      </w:pPr>
      <w:rPr>
        <w:rFonts w:ascii="Arial" w:hAnsi="Arial" w:hint="default"/>
      </w:rPr>
    </w:lvl>
    <w:lvl w:ilvl="3" w:tplc="A66852D2" w:tentative="1">
      <w:start w:val="1"/>
      <w:numFmt w:val="bullet"/>
      <w:lvlText w:val="•"/>
      <w:lvlJc w:val="left"/>
      <w:pPr>
        <w:tabs>
          <w:tab w:val="num" w:pos="2880"/>
        </w:tabs>
        <w:ind w:left="2880" w:hanging="360"/>
      </w:pPr>
      <w:rPr>
        <w:rFonts w:ascii="Arial" w:hAnsi="Arial" w:hint="default"/>
      </w:rPr>
    </w:lvl>
    <w:lvl w:ilvl="4" w:tplc="A4BE9488" w:tentative="1">
      <w:start w:val="1"/>
      <w:numFmt w:val="bullet"/>
      <w:lvlText w:val="•"/>
      <w:lvlJc w:val="left"/>
      <w:pPr>
        <w:tabs>
          <w:tab w:val="num" w:pos="3600"/>
        </w:tabs>
        <w:ind w:left="3600" w:hanging="360"/>
      </w:pPr>
      <w:rPr>
        <w:rFonts w:ascii="Arial" w:hAnsi="Arial" w:hint="default"/>
      </w:rPr>
    </w:lvl>
    <w:lvl w:ilvl="5" w:tplc="C94AC6BE" w:tentative="1">
      <w:start w:val="1"/>
      <w:numFmt w:val="bullet"/>
      <w:lvlText w:val="•"/>
      <w:lvlJc w:val="left"/>
      <w:pPr>
        <w:tabs>
          <w:tab w:val="num" w:pos="4320"/>
        </w:tabs>
        <w:ind w:left="4320" w:hanging="360"/>
      </w:pPr>
      <w:rPr>
        <w:rFonts w:ascii="Arial" w:hAnsi="Arial" w:hint="default"/>
      </w:rPr>
    </w:lvl>
    <w:lvl w:ilvl="6" w:tplc="F7449B66" w:tentative="1">
      <w:start w:val="1"/>
      <w:numFmt w:val="bullet"/>
      <w:lvlText w:val="•"/>
      <w:lvlJc w:val="left"/>
      <w:pPr>
        <w:tabs>
          <w:tab w:val="num" w:pos="5040"/>
        </w:tabs>
        <w:ind w:left="5040" w:hanging="360"/>
      </w:pPr>
      <w:rPr>
        <w:rFonts w:ascii="Arial" w:hAnsi="Arial" w:hint="default"/>
      </w:rPr>
    </w:lvl>
    <w:lvl w:ilvl="7" w:tplc="1876B404" w:tentative="1">
      <w:start w:val="1"/>
      <w:numFmt w:val="bullet"/>
      <w:lvlText w:val="•"/>
      <w:lvlJc w:val="left"/>
      <w:pPr>
        <w:tabs>
          <w:tab w:val="num" w:pos="5760"/>
        </w:tabs>
        <w:ind w:left="5760" w:hanging="360"/>
      </w:pPr>
      <w:rPr>
        <w:rFonts w:ascii="Arial" w:hAnsi="Arial" w:hint="default"/>
      </w:rPr>
    </w:lvl>
    <w:lvl w:ilvl="8" w:tplc="9F2CFB0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7265E6"/>
    <w:multiLevelType w:val="hybridMultilevel"/>
    <w:tmpl w:val="081EE4C8"/>
    <w:lvl w:ilvl="0" w:tplc="7B9C71D4">
      <w:start w:val="1"/>
      <w:numFmt w:val="bullet"/>
      <w:lvlText w:val="•"/>
      <w:lvlJc w:val="left"/>
      <w:pPr>
        <w:tabs>
          <w:tab w:val="num" w:pos="720"/>
        </w:tabs>
        <w:ind w:left="720" w:hanging="360"/>
      </w:pPr>
      <w:rPr>
        <w:rFonts w:ascii="Arial" w:hAnsi="Arial" w:hint="default"/>
      </w:rPr>
    </w:lvl>
    <w:lvl w:ilvl="1" w:tplc="2AAEC0D6" w:tentative="1">
      <w:start w:val="1"/>
      <w:numFmt w:val="bullet"/>
      <w:lvlText w:val="•"/>
      <w:lvlJc w:val="left"/>
      <w:pPr>
        <w:tabs>
          <w:tab w:val="num" w:pos="1440"/>
        </w:tabs>
        <w:ind w:left="1440" w:hanging="360"/>
      </w:pPr>
      <w:rPr>
        <w:rFonts w:ascii="Arial" w:hAnsi="Arial" w:hint="default"/>
      </w:rPr>
    </w:lvl>
    <w:lvl w:ilvl="2" w:tplc="5310F2FE" w:tentative="1">
      <w:start w:val="1"/>
      <w:numFmt w:val="bullet"/>
      <w:lvlText w:val="•"/>
      <w:lvlJc w:val="left"/>
      <w:pPr>
        <w:tabs>
          <w:tab w:val="num" w:pos="2160"/>
        </w:tabs>
        <w:ind w:left="2160" w:hanging="360"/>
      </w:pPr>
      <w:rPr>
        <w:rFonts w:ascii="Arial" w:hAnsi="Arial" w:hint="default"/>
      </w:rPr>
    </w:lvl>
    <w:lvl w:ilvl="3" w:tplc="B86A3F6C" w:tentative="1">
      <w:start w:val="1"/>
      <w:numFmt w:val="bullet"/>
      <w:lvlText w:val="•"/>
      <w:lvlJc w:val="left"/>
      <w:pPr>
        <w:tabs>
          <w:tab w:val="num" w:pos="2880"/>
        </w:tabs>
        <w:ind w:left="2880" w:hanging="360"/>
      </w:pPr>
      <w:rPr>
        <w:rFonts w:ascii="Arial" w:hAnsi="Arial" w:hint="default"/>
      </w:rPr>
    </w:lvl>
    <w:lvl w:ilvl="4" w:tplc="91DC30CC" w:tentative="1">
      <w:start w:val="1"/>
      <w:numFmt w:val="bullet"/>
      <w:lvlText w:val="•"/>
      <w:lvlJc w:val="left"/>
      <w:pPr>
        <w:tabs>
          <w:tab w:val="num" w:pos="3600"/>
        </w:tabs>
        <w:ind w:left="3600" w:hanging="360"/>
      </w:pPr>
      <w:rPr>
        <w:rFonts w:ascii="Arial" w:hAnsi="Arial" w:hint="default"/>
      </w:rPr>
    </w:lvl>
    <w:lvl w:ilvl="5" w:tplc="8258EC36" w:tentative="1">
      <w:start w:val="1"/>
      <w:numFmt w:val="bullet"/>
      <w:lvlText w:val="•"/>
      <w:lvlJc w:val="left"/>
      <w:pPr>
        <w:tabs>
          <w:tab w:val="num" w:pos="4320"/>
        </w:tabs>
        <w:ind w:left="4320" w:hanging="360"/>
      </w:pPr>
      <w:rPr>
        <w:rFonts w:ascii="Arial" w:hAnsi="Arial" w:hint="default"/>
      </w:rPr>
    </w:lvl>
    <w:lvl w:ilvl="6" w:tplc="6DDC2B80" w:tentative="1">
      <w:start w:val="1"/>
      <w:numFmt w:val="bullet"/>
      <w:lvlText w:val="•"/>
      <w:lvlJc w:val="left"/>
      <w:pPr>
        <w:tabs>
          <w:tab w:val="num" w:pos="5040"/>
        </w:tabs>
        <w:ind w:left="5040" w:hanging="360"/>
      </w:pPr>
      <w:rPr>
        <w:rFonts w:ascii="Arial" w:hAnsi="Arial" w:hint="default"/>
      </w:rPr>
    </w:lvl>
    <w:lvl w:ilvl="7" w:tplc="3704EB92" w:tentative="1">
      <w:start w:val="1"/>
      <w:numFmt w:val="bullet"/>
      <w:lvlText w:val="•"/>
      <w:lvlJc w:val="left"/>
      <w:pPr>
        <w:tabs>
          <w:tab w:val="num" w:pos="5760"/>
        </w:tabs>
        <w:ind w:left="5760" w:hanging="360"/>
      </w:pPr>
      <w:rPr>
        <w:rFonts w:ascii="Arial" w:hAnsi="Arial" w:hint="default"/>
      </w:rPr>
    </w:lvl>
    <w:lvl w:ilvl="8" w:tplc="FA146E0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580695"/>
    <w:multiLevelType w:val="hybridMultilevel"/>
    <w:tmpl w:val="85D0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C36256"/>
    <w:multiLevelType w:val="hybridMultilevel"/>
    <w:tmpl w:val="6BE21D3C"/>
    <w:lvl w:ilvl="0" w:tplc="12464DD4">
      <w:start w:val="1"/>
      <w:numFmt w:val="bullet"/>
      <w:lvlText w:val="•"/>
      <w:lvlJc w:val="left"/>
      <w:pPr>
        <w:tabs>
          <w:tab w:val="num" w:pos="720"/>
        </w:tabs>
        <w:ind w:left="720" w:hanging="360"/>
      </w:pPr>
      <w:rPr>
        <w:rFonts w:ascii="Arial" w:hAnsi="Arial" w:hint="default"/>
      </w:rPr>
    </w:lvl>
    <w:lvl w:ilvl="1" w:tplc="4628C662" w:tentative="1">
      <w:start w:val="1"/>
      <w:numFmt w:val="bullet"/>
      <w:lvlText w:val="•"/>
      <w:lvlJc w:val="left"/>
      <w:pPr>
        <w:tabs>
          <w:tab w:val="num" w:pos="1440"/>
        </w:tabs>
        <w:ind w:left="1440" w:hanging="360"/>
      </w:pPr>
      <w:rPr>
        <w:rFonts w:ascii="Arial" w:hAnsi="Arial" w:hint="default"/>
      </w:rPr>
    </w:lvl>
    <w:lvl w:ilvl="2" w:tplc="3DB4A146" w:tentative="1">
      <w:start w:val="1"/>
      <w:numFmt w:val="bullet"/>
      <w:lvlText w:val="•"/>
      <w:lvlJc w:val="left"/>
      <w:pPr>
        <w:tabs>
          <w:tab w:val="num" w:pos="2160"/>
        </w:tabs>
        <w:ind w:left="2160" w:hanging="360"/>
      </w:pPr>
      <w:rPr>
        <w:rFonts w:ascii="Arial" w:hAnsi="Arial" w:hint="default"/>
      </w:rPr>
    </w:lvl>
    <w:lvl w:ilvl="3" w:tplc="640459D0" w:tentative="1">
      <w:start w:val="1"/>
      <w:numFmt w:val="bullet"/>
      <w:lvlText w:val="•"/>
      <w:lvlJc w:val="left"/>
      <w:pPr>
        <w:tabs>
          <w:tab w:val="num" w:pos="2880"/>
        </w:tabs>
        <w:ind w:left="2880" w:hanging="360"/>
      </w:pPr>
      <w:rPr>
        <w:rFonts w:ascii="Arial" w:hAnsi="Arial" w:hint="default"/>
      </w:rPr>
    </w:lvl>
    <w:lvl w:ilvl="4" w:tplc="F692E92E" w:tentative="1">
      <w:start w:val="1"/>
      <w:numFmt w:val="bullet"/>
      <w:lvlText w:val="•"/>
      <w:lvlJc w:val="left"/>
      <w:pPr>
        <w:tabs>
          <w:tab w:val="num" w:pos="3600"/>
        </w:tabs>
        <w:ind w:left="3600" w:hanging="360"/>
      </w:pPr>
      <w:rPr>
        <w:rFonts w:ascii="Arial" w:hAnsi="Arial" w:hint="default"/>
      </w:rPr>
    </w:lvl>
    <w:lvl w:ilvl="5" w:tplc="4E9038DE" w:tentative="1">
      <w:start w:val="1"/>
      <w:numFmt w:val="bullet"/>
      <w:lvlText w:val="•"/>
      <w:lvlJc w:val="left"/>
      <w:pPr>
        <w:tabs>
          <w:tab w:val="num" w:pos="4320"/>
        </w:tabs>
        <w:ind w:left="4320" w:hanging="360"/>
      </w:pPr>
      <w:rPr>
        <w:rFonts w:ascii="Arial" w:hAnsi="Arial" w:hint="default"/>
      </w:rPr>
    </w:lvl>
    <w:lvl w:ilvl="6" w:tplc="06A8BD9C" w:tentative="1">
      <w:start w:val="1"/>
      <w:numFmt w:val="bullet"/>
      <w:lvlText w:val="•"/>
      <w:lvlJc w:val="left"/>
      <w:pPr>
        <w:tabs>
          <w:tab w:val="num" w:pos="5040"/>
        </w:tabs>
        <w:ind w:left="5040" w:hanging="360"/>
      </w:pPr>
      <w:rPr>
        <w:rFonts w:ascii="Arial" w:hAnsi="Arial" w:hint="default"/>
      </w:rPr>
    </w:lvl>
    <w:lvl w:ilvl="7" w:tplc="9DB46B02" w:tentative="1">
      <w:start w:val="1"/>
      <w:numFmt w:val="bullet"/>
      <w:lvlText w:val="•"/>
      <w:lvlJc w:val="left"/>
      <w:pPr>
        <w:tabs>
          <w:tab w:val="num" w:pos="5760"/>
        </w:tabs>
        <w:ind w:left="5760" w:hanging="360"/>
      </w:pPr>
      <w:rPr>
        <w:rFonts w:ascii="Arial" w:hAnsi="Arial" w:hint="default"/>
      </w:rPr>
    </w:lvl>
    <w:lvl w:ilvl="8" w:tplc="9F2ABCF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5639DF"/>
    <w:multiLevelType w:val="hybridMultilevel"/>
    <w:tmpl w:val="AAF88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B16632"/>
    <w:multiLevelType w:val="hybridMultilevel"/>
    <w:tmpl w:val="D2E2A70E"/>
    <w:lvl w:ilvl="0" w:tplc="43048216">
      <w:start w:val="1"/>
      <w:numFmt w:val="bullet"/>
      <w:lvlText w:val="•"/>
      <w:lvlJc w:val="left"/>
      <w:pPr>
        <w:tabs>
          <w:tab w:val="num" w:pos="720"/>
        </w:tabs>
        <w:ind w:left="720" w:hanging="360"/>
      </w:pPr>
      <w:rPr>
        <w:rFonts w:ascii="Arial" w:hAnsi="Arial" w:hint="default"/>
      </w:rPr>
    </w:lvl>
    <w:lvl w:ilvl="1" w:tplc="0E985620" w:tentative="1">
      <w:start w:val="1"/>
      <w:numFmt w:val="bullet"/>
      <w:lvlText w:val="•"/>
      <w:lvlJc w:val="left"/>
      <w:pPr>
        <w:tabs>
          <w:tab w:val="num" w:pos="1440"/>
        </w:tabs>
        <w:ind w:left="1440" w:hanging="360"/>
      </w:pPr>
      <w:rPr>
        <w:rFonts w:ascii="Arial" w:hAnsi="Arial" w:hint="default"/>
      </w:rPr>
    </w:lvl>
    <w:lvl w:ilvl="2" w:tplc="6DB6729C" w:tentative="1">
      <w:start w:val="1"/>
      <w:numFmt w:val="bullet"/>
      <w:lvlText w:val="•"/>
      <w:lvlJc w:val="left"/>
      <w:pPr>
        <w:tabs>
          <w:tab w:val="num" w:pos="2160"/>
        </w:tabs>
        <w:ind w:left="2160" w:hanging="360"/>
      </w:pPr>
      <w:rPr>
        <w:rFonts w:ascii="Arial" w:hAnsi="Arial" w:hint="default"/>
      </w:rPr>
    </w:lvl>
    <w:lvl w:ilvl="3" w:tplc="51989A04" w:tentative="1">
      <w:start w:val="1"/>
      <w:numFmt w:val="bullet"/>
      <w:lvlText w:val="•"/>
      <w:lvlJc w:val="left"/>
      <w:pPr>
        <w:tabs>
          <w:tab w:val="num" w:pos="2880"/>
        </w:tabs>
        <w:ind w:left="2880" w:hanging="360"/>
      </w:pPr>
      <w:rPr>
        <w:rFonts w:ascii="Arial" w:hAnsi="Arial" w:hint="default"/>
      </w:rPr>
    </w:lvl>
    <w:lvl w:ilvl="4" w:tplc="F0FC9A60" w:tentative="1">
      <w:start w:val="1"/>
      <w:numFmt w:val="bullet"/>
      <w:lvlText w:val="•"/>
      <w:lvlJc w:val="left"/>
      <w:pPr>
        <w:tabs>
          <w:tab w:val="num" w:pos="3600"/>
        </w:tabs>
        <w:ind w:left="3600" w:hanging="360"/>
      </w:pPr>
      <w:rPr>
        <w:rFonts w:ascii="Arial" w:hAnsi="Arial" w:hint="default"/>
      </w:rPr>
    </w:lvl>
    <w:lvl w:ilvl="5" w:tplc="C91023B2" w:tentative="1">
      <w:start w:val="1"/>
      <w:numFmt w:val="bullet"/>
      <w:lvlText w:val="•"/>
      <w:lvlJc w:val="left"/>
      <w:pPr>
        <w:tabs>
          <w:tab w:val="num" w:pos="4320"/>
        </w:tabs>
        <w:ind w:left="4320" w:hanging="360"/>
      </w:pPr>
      <w:rPr>
        <w:rFonts w:ascii="Arial" w:hAnsi="Arial" w:hint="default"/>
      </w:rPr>
    </w:lvl>
    <w:lvl w:ilvl="6" w:tplc="A80AF7A8" w:tentative="1">
      <w:start w:val="1"/>
      <w:numFmt w:val="bullet"/>
      <w:lvlText w:val="•"/>
      <w:lvlJc w:val="left"/>
      <w:pPr>
        <w:tabs>
          <w:tab w:val="num" w:pos="5040"/>
        </w:tabs>
        <w:ind w:left="5040" w:hanging="360"/>
      </w:pPr>
      <w:rPr>
        <w:rFonts w:ascii="Arial" w:hAnsi="Arial" w:hint="default"/>
      </w:rPr>
    </w:lvl>
    <w:lvl w:ilvl="7" w:tplc="9DF695E8" w:tentative="1">
      <w:start w:val="1"/>
      <w:numFmt w:val="bullet"/>
      <w:lvlText w:val="•"/>
      <w:lvlJc w:val="left"/>
      <w:pPr>
        <w:tabs>
          <w:tab w:val="num" w:pos="5760"/>
        </w:tabs>
        <w:ind w:left="5760" w:hanging="360"/>
      </w:pPr>
      <w:rPr>
        <w:rFonts w:ascii="Arial" w:hAnsi="Arial" w:hint="default"/>
      </w:rPr>
    </w:lvl>
    <w:lvl w:ilvl="8" w:tplc="4CF0F960" w:tentative="1">
      <w:start w:val="1"/>
      <w:numFmt w:val="bullet"/>
      <w:lvlText w:val="•"/>
      <w:lvlJc w:val="left"/>
      <w:pPr>
        <w:tabs>
          <w:tab w:val="num" w:pos="6480"/>
        </w:tabs>
        <w:ind w:left="6480" w:hanging="360"/>
      </w:pPr>
      <w:rPr>
        <w:rFonts w:ascii="Arial" w:hAnsi="Arial" w:hint="default"/>
      </w:rPr>
    </w:lvl>
  </w:abstractNum>
  <w:num w:numId="1" w16cid:durableId="1790276730">
    <w:abstractNumId w:val="0"/>
  </w:num>
  <w:num w:numId="2" w16cid:durableId="11453973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5777">
    <w:abstractNumId w:val="17"/>
  </w:num>
  <w:num w:numId="4" w16cid:durableId="1932817748">
    <w:abstractNumId w:val="12"/>
  </w:num>
  <w:num w:numId="5" w16cid:durableId="1119448950">
    <w:abstractNumId w:val="27"/>
  </w:num>
  <w:num w:numId="6" w16cid:durableId="1975788775">
    <w:abstractNumId w:val="26"/>
  </w:num>
  <w:num w:numId="7" w16cid:durableId="585117482">
    <w:abstractNumId w:val="36"/>
  </w:num>
  <w:num w:numId="8" w16cid:durableId="2115906057">
    <w:abstractNumId w:val="38"/>
  </w:num>
  <w:num w:numId="9" w16cid:durableId="1433553692">
    <w:abstractNumId w:val="19"/>
  </w:num>
  <w:num w:numId="10" w16cid:durableId="1996757459">
    <w:abstractNumId w:val="7"/>
  </w:num>
  <w:num w:numId="11" w16cid:durableId="497842897">
    <w:abstractNumId w:val="2"/>
  </w:num>
  <w:num w:numId="12" w16cid:durableId="1463307483">
    <w:abstractNumId w:val="10"/>
  </w:num>
  <w:num w:numId="13" w16cid:durableId="651174201">
    <w:abstractNumId w:val="18"/>
  </w:num>
  <w:num w:numId="14" w16cid:durableId="712467691">
    <w:abstractNumId w:val="16"/>
  </w:num>
  <w:num w:numId="15" w16cid:durableId="1572693151">
    <w:abstractNumId w:val="32"/>
  </w:num>
  <w:num w:numId="16" w16cid:durableId="508909487">
    <w:abstractNumId w:val="9"/>
  </w:num>
  <w:num w:numId="17" w16cid:durableId="977414937">
    <w:abstractNumId w:val="8"/>
  </w:num>
  <w:num w:numId="18" w16cid:durableId="972716444">
    <w:abstractNumId w:val="34"/>
  </w:num>
  <w:num w:numId="19" w16cid:durableId="357776728">
    <w:abstractNumId w:val="30"/>
  </w:num>
  <w:num w:numId="20" w16cid:durableId="1698434700">
    <w:abstractNumId w:val="4"/>
  </w:num>
  <w:num w:numId="21" w16cid:durableId="178392896">
    <w:abstractNumId w:val="22"/>
  </w:num>
  <w:num w:numId="22" w16cid:durableId="982583212">
    <w:abstractNumId w:val="35"/>
  </w:num>
  <w:num w:numId="23" w16cid:durableId="601188627">
    <w:abstractNumId w:val="31"/>
  </w:num>
  <w:num w:numId="24" w16cid:durableId="1762532484">
    <w:abstractNumId w:val="5"/>
  </w:num>
  <w:num w:numId="25" w16cid:durableId="573976838">
    <w:abstractNumId w:val="25"/>
  </w:num>
  <w:num w:numId="26" w16cid:durableId="2033727669">
    <w:abstractNumId w:val="1"/>
  </w:num>
  <w:num w:numId="27" w16cid:durableId="740058393">
    <w:abstractNumId w:val="3"/>
  </w:num>
  <w:num w:numId="28" w16cid:durableId="2092584659">
    <w:abstractNumId w:val="15"/>
  </w:num>
  <w:num w:numId="29" w16cid:durableId="187334619">
    <w:abstractNumId w:val="29"/>
  </w:num>
  <w:num w:numId="30" w16cid:durableId="389574749">
    <w:abstractNumId w:val="13"/>
  </w:num>
  <w:num w:numId="31" w16cid:durableId="20127703">
    <w:abstractNumId w:val="11"/>
  </w:num>
  <w:num w:numId="32" w16cid:durableId="209650600">
    <w:abstractNumId w:val="28"/>
  </w:num>
  <w:num w:numId="33" w16cid:durableId="76906365">
    <w:abstractNumId w:val="21"/>
  </w:num>
  <w:num w:numId="34" w16cid:durableId="1409619946">
    <w:abstractNumId w:val="20"/>
  </w:num>
  <w:num w:numId="35" w16cid:durableId="478498617">
    <w:abstractNumId w:val="23"/>
  </w:num>
  <w:num w:numId="36" w16cid:durableId="185561740">
    <w:abstractNumId w:val="14"/>
  </w:num>
  <w:num w:numId="37" w16cid:durableId="1769616246">
    <w:abstractNumId w:val="37"/>
  </w:num>
  <w:num w:numId="38" w16cid:durableId="169221801">
    <w:abstractNumId w:val="33"/>
  </w:num>
  <w:num w:numId="39" w16cid:durableId="1837695242">
    <w:abstractNumId w:val="24"/>
  </w:num>
  <w:num w:numId="40" w16cid:durableId="295912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860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16DAC"/>
    <w:rsid w:val="00027E19"/>
    <w:rsid w:val="000450B0"/>
    <w:rsid w:val="000468DC"/>
    <w:rsid w:val="00053D88"/>
    <w:rsid w:val="00085181"/>
    <w:rsid w:val="00086CE5"/>
    <w:rsid w:val="000A3845"/>
    <w:rsid w:val="000A72EB"/>
    <w:rsid w:val="000B352B"/>
    <w:rsid w:val="000B36E1"/>
    <w:rsid w:val="000C57B3"/>
    <w:rsid w:val="00100CAF"/>
    <w:rsid w:val="001146B6"/>
    <w:rsid w:val="00125713"/>
    <w:rsid w:val="001328DE"/>
    <w:rsid w:val="0013649F"/>
    <w:rsid w:val="001421F4"/>
    <w:rsid w:val="00153EBE"/>
    <w:rsid w:val="0016288A"/>
    <w:rsid w:val="00163607"/>
    <w:rsid w:val="00176AA4"/>
    <w:rsid w:val="00190591"/>
    <w:rsid w:val="001939FF"/>
    <w:rsid w:val="001940A6"/>
    <w:rsid w:val="001A23D7"/>
    <w:rsid w:val="001A4316"/>
    <w:rsid w:val="001A5B30"/>
    <w:rsid w:val="001C35E1"/>
    <w:rsid w:val="001D5BD2"/>
    <w:rsid w:val="00202887"/>
    <w:rsid w:val="002055E9"/>
    <w:rsid w:val="00212C7D"/>
    <w:rsid w:val="002131A2"/>
    <w:rsid w:val="00213DAC"/>
    <w:rsid w:val="00221B9B"/>
    <w:rsid w:val="0022689E"/>
    <w:rsid w:val="0023062E"/>
    <w:rsid w:val="002339B3"/>
    <w:rsid w:val="0023468F"/>
    <w:rsid w:val="002361C8"/>
    <w:rsid w:val="00246682"/>
    <w:rsid w:val="002467CD"/>
    <w:rsid w:val="00267F04"/>
    <w:rsid w:val="00271ED7"/>
    <w:rsid w:val="002774AA"/>
    <w:rsid w:val="00291929"/>
    <w:rsid w:val="002F6C92"/>
    <w:rsid w:val="00320722"/>
    <w:rsid w:val="00321B75"/>
    <w:rsid w:val="00350790"/>
    <w:rsid w:val="00364449"/>
    <w:rsid w:val="0036774D"/>
    <w:rsid w:val="00376F02"/>
    <w:rsid w:val="003A3E2E"/>
    <w:rsid w:val="003A79BD"/>
    <w:rsid w:val="003C62A5"/>
    <w:rsid w:val="003D614E"/>
    <w:rsid w:val="003D655E"/>
    <w:rsid w:val="003E0ED3"/>
    <w:rsid w:val="003E5228"/>
    <w:rsid w:val="00403D8B"/>
    <w:rsid w:val="00414D3D"/>
    <w:rsid w:val="00415772"/>
    <w:rsid w:val="004215D9"/>
    <w:rsid w:val="00442B65"/>
    <w:rsid w:val="00453774"/>
    <w:rsid w:val="004932B6"/>
    <w:rsid w:val="00493D2F"/>
    <w:rsid w:val="004A54AF"/>
    <w:rsid w:val="004A5FC1"/>
    <w:rsid w:val="004C2D22"/>
    <w:rsid w:val="004C7AF5"/>
    <w:rsid w:val="004E4493"/>
    <w:rsid w:val="004F29D7"/>
    <w:rsid w:val="005254A8"/>
    <w:rsid w:val="00535753"/>
    <w:rsid w:val="00543316"/>
    <w:rsid w:val="0057273F"/>
    <w:rsid w:val="005A7541"/>
    <w:rsid w:val="005B078B"/>
    <w:rsid w:val="005C167A"/>
    <w:rsid w:val="005D0940"/>
    <w:rsid w:val="005E0434"/>
    <w:rsid w:val="005F231E"/>
    <w:rsid w:val="00610CEF"/>
    <w:rsid w:val="00624169"/>
    <w:rsid w:val="00647DFC"/>
    <w:rsid w:val="00657CE2"/>
    <w:rsid w:val="00662BDD"/>
    <w:rsid w:val="00680639"/>
    <w:rsid w:val="0069052B"/>
    <w:rsid w:val="006929D5"/>
    <w:rsid w:val="0069376C"/>
    <w:rsid w:val="006A73DA"/>
    <w:rsid w:val="006D0C62"/>
    <w:rsid w:val="006D53E8"/>
    <w:rsid w:val="006F031D"/>
    <w:rsid w:val="006F1C70"/>
    <w:rsid w:val="006F65AE"/>
    <w:rsid w:val="00702B9C"/>
    <w:rsid w:val="0070524D"/>
    <w:rsid w:val="00716F6E"/>
    <w:rsid w:val="00730634"/>
    <w:rsid w:val="00731563"/>
    <w:rsid w:val="00732227"/>
    <w:rsid w:val="007358CA"/>
    <w:rsid w:val="00760780"/>
    <w:rsid w:val="00766FCB"/>
    <w:rsid w:val="00783B82"/>
    <w:rsid w:val="00792FC8"/>
    <w:rsid w:val="007A4545"/>
    <w:rsid w:val="007B4415"/>
    <w:rsid w:val="00806F29"/>
    <w:rsid w:val="008074B4"/>
    <w:rsid w:val="0082699C"/>
    <w:rsid w:val="00873FF1"/>
    <w:rsid w:val="00882488"/>
    <w:rsid w:val="008C57E5"/>
    <w:rsid w:val="008E3A58"/>
    <w:rsid w:val="00915A21"/>
    <w:rsid w:val="0096613A"/>
    <w:rsid w:val="00980D1B"/>
    <w:rsid w:val="00987AE1"/>
    <w:rsid w:val="00990543"/>
    <w:rsid w:val="009A418E"/>
    <w:rsid w:val="009C0B7A"/>
    <w:rsid w:val="009C2197"/>
    <w:rsid w:val="009C336F"/>
    <w:rsid w:val="009D23C1"/>
    <w:rsid w:val="009D63A3"/>
    <w:rsid w:val="009E2F15"/>
    <w:rsid w:val="009E5909"/>
    <w:rsid w:val="00A2293E"/>
    <w:rsid w:val="00A24AFC"/>
    <w:rsid w:val="00A343CB"/>
    <w:rsid w:val="00A45B46"/>
    <w:rsid w:val="00A51B57"/>
    <w:rsid w:val="00A55955"/>
    <w:rsid w:val="00A56BFF"/>
    <w:rsid w:val="00A666AB"/>
    <w:rsid w:val="00A82183"/>
    <w:rsid w:val="00A8318F"/>
    <w:rsid w:val="00AE303D"/>
    <w:rsid w:val="00AF1C8C"/>
    <w:rsid w:val="00AF2D1B"/>
    <w:rsid w:val="00AF7A58"/>
    <w:rsid w:val="00B16C51"/>
    <w:rsid w:val="00B315FC"/>
    <w:rsid w:val="00B32101"/>
    <w:rsid w:val="00B32439"/>
    <w:rsid w:val="00B32667"/>
    <w:rsid w:val="00B32B71"/>
    <w:rsid w:val="00B42D9B"/>
    <w:rsid w:val="00B47415"/>
    <w:rsid w:val="00B570F1"/>
    <w:rsid w:val="00B91A64"/>
    <w:rsid w:val="00C134B4"/>
    <w:rsid w:val="00C17C3E"/>
    <w:rsid w:val="00C32775"/>
    <w:rsid w:val="00C34A8A"/>
    <w:rsid w:val="00C35644"/>
    <w:rsid w:val="00C405AD"/>
    <w:rsid w:val="00C5400D"/>
    <w:rsid w:val="00C55359"/>
    <w:rsid w:val="00C6550B"/>
    <w:rsid w:val="00C82808"/>
    <w:rsid w:val="00C93722"/>
    <w:rsid w:val="00C96687"/>
    <w:rsid w:val="00CA30F9"/>
    <w:rsid w:val="00CB6FAC"/>
    <w:rsid w:val="00CC1DA3"/>
    <w:rsid w:val="00CD2E22"/>
    <w:rsid w:val="00D036E9"/>
    <w:rsid w:val="00D04D5B"/>
    <w:rsid w:val="00D06145"/>
    <w:rsid w:val="00D1604D"/>
    <w:rsid w:val="00D16854"/>
    <w:rsid w:val="00D224D3"/>
    <w:rsid w:val="00D373B4"/>
    <w:rsid w:val="00D42175"/>
    <w:rsid w:val="00D43BC9"/>
    <w:rsid w:val="00D44012"/>
    <w:rsid w:val="00DC1B1B"/>
    <w:rsid w:val="00DC743C"/>
    <w:rsid w:val="00DE52D4"/>
    <w:rsid w:val="00DE5F2E"/>
    <w:rsid w:val="00DF39D1"/>
    <w:rsid w:val="00DF7DF4"/>
    <w:rsid w:val="00E03263"/>
    <w:rsid w:val="00E1097C"/>
    <w:rsid w:val="00E1136B"/>
    <w:rsid w:val="00E14149"/>
    <w:rsid w:val="00E15865"/>
    <w:rsid w:val="00E345C1"/>
    <w:rsid w:val="00E622D7"/>
    <w:rsid w:val="00EA3919"/>
    <w:rsid w:val="00EB17A5"/>
    <w:rsid w:val="00EC6757"/>
    <w:rsid w:val="00ED1D39"/>
    <w:rsid w:val="00EE6553"/>
    <w:rsid w:val="00EF1A20"/>
    <w:rsid w:val="00EF4BA7"/>
    <w:rsid w:val="00EF704A"/>
    <w:rsid w:val="00EF7B08"/>
    <w:rsid w:val="00F1265E"/>
    <w:rsid w:val="00F233EA"/>
    <w:rsid w:val="00F256ED"/>
    <w:rsid w:val="00F307DE"/>
    <w:rsid w:val="00F32730"/>
    <w:rsid w:val="00F36E08"/>
    <w:rsid w:val="00F54241"/>
    <w:rsid w:val="00F80DAB"/>
    <w:rsid w:val="00F95444"/>
    <w:rsid w:val="00FC63CB"/>
    <w:rsid w:val="00FC68A7"/>
    <w:rsid w:val="00FE3120"/>
    <w:rsid w:val="00FE3296"/>
    <w:rsid w:val="00FF3943"/>
    <w:rsid w:val="00FF4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21"/>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paragraph" w:styleId="Heading1">
    <w:name w:val="heading 1"/>
    <w:basedOn w:val="Normal"/>
    <w:next w:val="Normal"/>
    <w:link w:val="Heading1Char"/>
    <w:uiPriority w:val="9"/>
    <w:qFormat/>
    <w:rsid w:val="00806F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32101"/>
    <w:pPr>
      <w:keepNext/>
      <w:spacing w:after="120" w:line="240" w:lineRule="auto"/>
      <w:outlineLvl w:val="1"/>
    </w:pPr>
    <w:rPr>
      <w:rFonts w:ascii="Arial" w:eastAsia="Times New Roman" w:hAnsi="Arial"/>
      <w:b/>
      <w:bCs/>
      <w:i/>
      <w:iCs/>
      <w:sz w:val="26"/>
      <w:szCs w:val="26"/>
      <w:lang w:eastAsia="en-GB"/>
    </w:rPr>
  </w:style>
  <w:style w:type="paragraph" w:styleId="Heading3">
    <w:name w:val="heading 3"/>
    <w:basedOn w:val="Normal"/>
    <w:next w:val="Normal"/>
    <w:link w:val="Heading3Char"/>
    <w:uiPriority w:val="9"/>
    <w:semiHidden/>
    <w:unhideWhenUsed/>
    <w:qFormat/>
    <w:rsid w:val="00806F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customStyle="1" w:styleId="Heading2Char">
    <w:name w:val="Heading 2 Char"/>
    <w:basedOn w:val="DefaultParagraphFont"/>
    <w:link w:val="Heading2"/>
    <w:rsid w:val="00B32101"/>
    <w:rPr>
      <w:rFonts w:ascii="Arial" w:eastAsia="Times New Roman" w:hAnsi="Arial"/>
      <w:b/>
      <w:bCs/>
      <w:i/>
      <w:iCs/>
      <w:sz w:val="26"/>
      <w:szCs w:val="26"/>
    </w:rPr>
  </w:style>
  <w:style w:type="paragraph" w:customStyle="1" w:styleId="NICEnormal">
    <w:name w:val="NICE normal"/>
    <w:rsid w:val="00B32101"/>
    <w:pPr>
      <w:spacing w:after="240" w:line="360" w:lineRule="auto"/>
    </w:pPr>
    <w:rPr>
      <w:rFonts w:ascii="Arial" w:eastAsia="Times New Roman" w:hAnsi="Arial"/>
      <w:sz w:val="24"/>
      <w:szCs w:val="24"/>
      <w:lang w:val="en-US" w:eastAsia="en-US"/>
    </w:rPr>
  </w:style>
  <w:style w:type="paragraph" w:customStyle="1" w:styleId="Default">
    <w:name w:val="Default"/>
    <w:rsid w:val="00B32101"/>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D224D3"/>
    <w:rPr>
      <w:sz w:val="16"/>
      <w:szCs w:val="16"/>
    </w:rPr>
  </w:style>
  <w:style w:type="paragraph" w:styleId="CommentText">
    <w:name w:val="annotation text"/>
    <w:basedOn w:val="Normal"/>
    <w:link w:val="CommentTextChar"/>
    <w:unhideWhenUsed/>
    <w:rsid w:val="00D224D3"/>
    <w:pPr>
      <w:spacing w:line="240" w:lineRule="auto"/>
    </w:pPr>
    <w:rPr>
      <w:sz w:val="20"/>
      <w:szCs w:val="20"/>
    </w:rPr>
  </w:style>
  <w:style w:type="character" w:customStyle="1" w:styleId="CommentTextChar">
    <w:name w:val="Comment Text Char"/>
    <w:basedOn w:val="DefaultParagraphFont"/>
    <w:link w:val="CommentText"/>
    <w:rsid w:val="00D224D3"/>
    <w:rPr>
      <w:lang w:eastAsia="en-US"/>
    </w:rPr>
  </w:style>
  <w:style w:type="paragraph" w:styleId="CommentSubject">
    <w:name w:val="annotation subject"/>
    <w:basedOn w:val="CommentText"/>
    <w:next w:val="CommentText"/>
    <w:link w:val="CommentSubjectChar"/>
    <w:uiPriority w:val="99"/>
    <w:semiHidden/>
    <w:unhideWhenUsed/>
    <w:rsid w:val="00D224D3"/>
    <w:rPr>
      <w:b/>
      <w:bCs/>
    </w:rPr>
  </w:style>
  <w:style w:type="character" w:customStyle="1" w:styleId="CommentSubjectChar">
    <w:name w:val="Comment Subject Char"/>
    <w:basedOn w:val="CommentTextChar"/>
    <w:link w:val="CommentSubject"/>
    <w:uiPriority w:val="99"/>
    <w:semiHidden/>
    <w:rsid w:val="00D224D3"/>
    <w:rPr>
      <w:b/>
      <w:bCs/>
      <w:lang w:eastAsia="en-US"/>
    </w:rPr>
  </w:style>
  <w:style w:type="character" w:styleId="Hyperlink">
    <w:name w:val="Hyperlink"/>
    <w:basedOn w:val="DefaultParagraphFont"/>
    <w:uiPriority w:val="99"/>
    <w:unhideWhenUsed/>
    <w:rsid w:val="00D224D3"/>
    <w:rPr>
      <w:color w:val="0000FF" w:themeColor="hyperlink"/>
      <w:u w:val="single"/>
    </w:rPr>
  </w:style>
  <w:style w:type="character" w:styleId="UnresolvedMention">
    <w:name w:val="Unresolved Mention"/>
    <w:basedOn w:val="DefaultParagraphFont"/>
    <w:uiPriority w:val="99"/>
    <w:semiHidden/>
    <w:unhideWhenUsed/>
    <w:rsid w:val="00D224D3"/>
    <w:rPr>
      <w:color w:val="605E5C"/>
      <w:shd w:val="clear" w:color="auto" w:fill="E1DFDD"/>
    </w:rPr>
  </w:style>
  <w:style w:type="paragraph" w:styleId="NoSpacing">
    <w:name w:val="No Spacing"/>
    <w:uiPriority w:val="1"/>
    <w:qFormat/>
    <w:rsid w:val="00E14149"/>
    <w:rPr>
      <w:sz w:val="22"/>
      <w:szCs w:val="22"/>
      <w:lang w:eastAsia="en-US"/>
    </w:rPr>
  </w:style>
  <w:style w:type="character" w:customStyle="1" w:styleId="Heading1Char">
    <w:name w:val="Heading 1 Char"/>
    <w:basedOn w:val="DefaultParagraphFont"/>
    <w:link w:val="Heading1"/>
    <w:uiPriority w:val="9"/>
    <w:rsid w:val="00806F29"/>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semiHidden/>
    <w:rsid w:val="00806F29"/>
    <w:rPr>
      <w:rFonts w:asciiTheme="majorHAnsi" w:eastAsiaTheme="majorEastAsia" w:hAnsiTheme="majorHAnsi" w:cstheme="majorBidi"/>
      <w:color w:val="243F60" w:themeColor="accent1" w:themeShade="7F"/>
      <w:sz w:val="24"/>
      <w:szCs w:val="24"/>
      <w:lang w:eastAsia="en-US"/>
    </w:rPr>
  </w:style>
  <w:style w:type="paragraph" w:customStyle="1" w:styleId="Paragraph">
    <w:name w:val="Paragraph"/>
    <w:basedOn w:val="Normal"/>
    <w:uiPriority w:val="99"/>
    <w:qFormat/>
    <w:rsid w:val="00806F29"/>
    <w:pPr>
      <w:numPr>
        <w:numId w:val="2"/>
      </w:numPr>
      <w:spacing w:before="240" w:after="240"/>
    </w:pPr>
    <w:rPr>
      <w:rFonts w:ascii="Arial" w:eastAsia="Times New Roman" w:hAnsi="Arial"/>
      <w:sz w:val="24"/>
      <w:szCs w:val="24"/>
      <w:lang w:eastAsia="en-GB"/>
    </w:rPr>
  </w:style>
  <w:style w:type="paragraph" w:styleId="NormalWeb">
    <w:name w:val="Normal (Web)"/>
    <w:basedOn w:val="Normal"/>
    <w:uiPriority w:val="99"/>
    <w:semiHidden/>
    <w:unhideWhenUsed/>
    <w:rsid w:val="0082699C"/>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F32730"/>
    <w:pPr>
      <w:ind w:left="720"/>
      <w:contextualSpacing/>
    </w:pPr>
  </w:style>
  <w:style w:type="paragraph" w:customStyle="1" w:styleId="Paragraphnonumbers">
    <w:name w:val="Paragraph no numbers"/>
    <w:basedOn w:val="Normal"/>
    <w:uiPriority w:val="99"/>
    <w:qFormat/>
    <w:rsid w:val="00202887"/>
    <w:pPr>
      <w:spacing w:before="240" w:after="240"/>
    </w:pPr>
    <w:rPr>
      <w:rFonts w:ascii="Arial" w:eastAsia="Times New Roman" w:hAnsi="Arial"/>
      <w:sz w:val="24"/>
      <w:szCs w:val="24"/>
      <w:lang w:eastAsia="en-GB"/>
    </w:rPr>
  </w:style>
  <w:style w:type="paragraph" w:customStyle="1" w:styleId="Tabletext">
    <w:name w:val="Table text"/>
    <w:basedOn w:val="Normal"/>
    <w:rsid w:val="007358CA"/>
    <w:pPr>
      <w:spacing w:before="60" w:after="80" w:line="240" w:lineRule="auto"/>
    </w:pPr>
    <w:rPr>
      <w:rFonts w:ascii="Arial" w:eastAsia="Times New Roman" w:hAnsi="Arial"/>
      <w:szCs w:val="24"/>
    </w:rPr>
  </w:style>
  <w:style w:type="paragraph" w:styleId="Revision">
    <w:name w:val="Revision"/>
    <w:hidden/>
    <w:uiPriority w:val="99"/>
    <w:semiHidden/>
    <w:rsid w:val="008074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6513">
      <w:bodyDiv w:val="1"/>
      <w:marLeft w:val="0"/>
      <w:marRight w:val="0"/>
      <w:marTop w:val="0"/>
      <w:marBottom w:val="0"/>
      <w:divBdr>
        <w:top w:val="none" w:sz="0" w:space="0" w:color="auto"/>
        <w:left w:val="none" w:sz="0" w:space="0" w:color="auto"/>
        <w:bottom w:val="none" w:sz="0" w:space="0" w:color="auto"/>
        <w:right w:val="none" w:sz="0" w:space="0" w:color="auto"/>
      </w:divBdr>
      <w:divsChild>
        <w:div w:id="240220451">
          <w:marLeft w:val="446"/>
          <w:marRight w:val="0"/>
          <w:marTop w:val="0"/>
          <w:marBottom w:val="0"/>
          <w:divBdr>
            <w:top w:val="none" w:sz="0" w:space="0" w:color="auto"/>
            <w:left w:val="none" w:sz="0" w:space="0" w:color="auto"/>
            <w:bottom w:val="none" w:sz="0" w:space="0" w:color="auto"/>
            <w:right w:val="none" w:sz="0" w:space="0" w:color="auto"/>
          </w:divBdr>
        </w:div>
        <w:div w:id="193269724">
          <w:marLeft w:val="446"/>
          <w:marRight w:val="0"/>
          <w:marTop w:val="0"/>
          <w:marBottom w:val="0"/>
          <w:divBdr>
            <w:top w:val="none" w:sz="0" w:space="0" w:color="auto"/>
            <w:left w:val="none" w:sz="0" w:space="0" w:color="auto"/>
            <w:bottom w:val="none" w:sz="0" w:space="0" w:color="auto"/>
            <w:right w:val="none" w:sz="0" w:space="0" w:color="auto"/>
          </w:divBdr>
        </w:div>
      </w:divsChild>
    </w:div>
    <w:div w:id="57821927">
      <w:bodyDiv w:val="1"/>
      <w:marLeft w:val="0"/>
      <w:marRight w:val="0"/>
      <w:marTop w:val="0"/>
      <w:marBottom w:val="0"/>
      <w:divBdr>
        <w:top w:val="none" w:sz="0" w:space="0" w:color="auto"/>
        <w:left w:val="none" w:sz="0" w:space="0" w:color="auto"/>
        <w:bottom w:val="none" w:sz="0" w:space="0" w:color="auto"/>
        <w:right w:val="none" w:sz="0" w:space="0" w:color="auto"/>
      </w:divBdr>
    </w:div>
    <w:div w:id="95634359">
      <w:bodyDiv w:val="1"/>
      <w:marLeft w:val="0"/>
      <w:marRight w:val="0"/>
      <w:marTop w:val="0"/>
      <w:marBottom w:val="0"/>
      <w:divBdr>
        <w:top w:val="none" w:sz="0" w:space="0" w:color="auto"/>
        <w:left w:val="none" w:sz="0" w:space="0" w:color="auto"/>
        <w:bottom w:val="none" w:sz="0" w:space="0" w:color="auto"/>
        <w:right w:val="none" w:sz="0" w:space="0" w:color="auto"/>
      </w:divBdr>
      <w:divsChild>
        <w:div w:id="557400782">
          <w:marLeft w:val="490"/>
          <w:marRight w:val="0"/>
          <w:marTop w:val="0"/>
          <w:marBottom w:val="109"/>
          <w:divBdr>
            <w:top w:val="none" w:sz="0" w:space="0" w:color="auto"/>
            <w:left w:val="none" w:sz="0" w:space="0" w:color="auto"/>
            <w:bottom w:val="none" w:sz="0" w:space="0" w:color="auto"/>
            <w:right w:val="none" w:sz="0" w:space="0" w:color="auto"/>
          </w:divBdr>
        </w:div>
      </w:divsChild>
    </w:div>
    <w:div w:id="135220975">
      <w:bodyDiv w:val="1"/>
      <w:marLeft w:val="0"/>
      <w:marRight w:val="0"/>
      <w:marTop w:val="0"/>
      <w:marBottom w:val="0"/>
      <w:divBdr>
        <w:top w:val="none" w:sz="0" w:space="0" w:color="auto"/>
        <w:left w:val="none" w:sz="0" w:space="0" w:color="auto"/>
        <w:bottom w:val="none" w:sz="0" w:space="0" w:color="auto"/>
        <w:right w:val="none" w:sz="0" w:space="0" w:color="auto"/>
      </w:divBdr>
      <w:divsChild>
        <w:div w:id="1783917996">
          <w:marLeft w:val="490"/>
          <w:marRight w:val="0"/>
          <w:marTop w:val="0"/>
          <w:marBottom w:val="109"/>
          <w:divBdr>
            <w:top w:val="none" w:sz="0" w:space="0" w:color="auto"/>
            <w:left w:val="none" w:sz="0" w:space="0" w:color="auto"/>
            <w:bottom w:val="none" w:sz="0" w:space="0" w:color="auto"/>
            <w:right w:val="none" w:sz="0" w:space="0" w:color="auto"/>
          </w:divBdr>
        </w:div>
      </w:divsChild>
    </w:div>
    <w:div w:id="232350334">
      <w:bodyDiv w:val="1"/>
      <w:marLeft w:val="0"/>
      <w:marRight w:val="0"/>
      <w:marTop w:val="0"/>
      <w:marBottom w:val="0"/>
      <w:divBdr>
        <w:top w:val="none" w:sz="0" w:space="0" w:color="auto"/>
        <w:left w:val="none" w:sz="0" w:space="0" w:color="auto"/>
        <w:bottom w:val="none" w:sz="0" w:space="0" w:color="auto"/>
        <w:right w:val="none" w:sz="0" w:space="0" w:color="auto"/>
      </w:divBdr>
    </w:div>
    <w:div w:id="316956479">
      <w:bodyDiv w:val="1"/>
      <w:marLeft w:val="0"/>
      <w:marRight w:val="0"/>
      <w:marTop w:val="0"/>
      <w:marBottom w:val="0"/>
      <w:divBdr>
        <w:top w:val="none" w:sz="0" w:space="0" w:color="auto"/>
        <w:left w:val="none" w:sz="0" w:space="0" w:color="auto"/>
        <w:bottom w:val="none" w:sz="0" w:space="0" w:color="auto"/>
        <w:right w:val="none" w:sz="0" w:space="0" w:color="auto"/>
      </w:divBdr>
    </w:div>
    <w:div w:id="338049320">
      <w:bodyDiv w:val="1"/>
      <w:marLeft w:val="0"/>
      <w:marRight w:val="0"/>
      <w:marTop w:val="0"/>
      <w:marBottom w:val="0"/>
      <w:divBdr>
        <w:top w:val="none" w:sz="0" w:space="0" w:color="auto"/>
        <w:left w:val="none" w:sz="0" w:space="0" w:color="auto"/>
        <w:bottom w:val="none" w:sz="0" w:space="0" w:color="auto"/>
        <w:right w:val="none" w:sz="0" w:space="0" w:color="auto"/>
      </w:divBdr>
    </w:div>
    <w:div w:id="385183079">
      <w:bodyDiv w:val="1"/>
      <w:marLeft w:val="0"/>
      <w:marRight w:val="0"/>
      <w:marTop w:val="0"/>
      <w:marBottom w:val="0"/>
      <w:divBdr>
        <w:top w:val="none" w:sz="0" w:space="0" w:color="auto"/>
        <w:left w:val="none" w:sz="0" w:space="0" w:color="auto"/>
        <w:bottom w:val="none" w:sz="0" w:space="0" w:color="auto"/>
        <w:right w:val="none" w:sz="0" w:space="0" w:color="auto"/>
      </w:divBdr>
      <w:divsChild>
        <w:div w:id="276721766">
          <w:marLeft w:val="806"/>
          <w:marRight w:val="0"/>
          <w:marTop w:val="0"/>
          <w:marBottom w:val="0"/>
          <w:divBdr>
            <w:top w:val="none" w:sz="0" w:space="0" w:color="auto"/>
            <w:left w:val="none" w:sz="0" w:space="0" w:color="auto"/>
            <w:bottom w:val="none" w:sz="0" w:space="0" w:color="auto"/>
            <w:right w:val="none" w:sz="0" w:space="0" w:color="auto"/>
          </w:divBdr>
        </w:div>
        <w:div w:id="2041854934">
          <w:marLeft w:val="806"/>
          <w:marRight w:val="0"/>
          <w:marTop w:val="0"/>
          <w:marBottom w:val="0"/>
          <w:divBdr>
            <w:top w:val="none" w:sz="0" w:space="0" w:color="auto"/>
            <w:left w:val="none" w:sz="0" w:space="0" w:color="auto"/>
            <w:bottom w:val="none" w:sz="0" w:space="0" w:color="auto"/>
            <w:right w:val="none" w:sz="0" w:space="0" w:color="auto"/>
          </w:divBdr>
        </w:div>
      </w:divsChild>
    </w:div>
    <w:div w:id="386953541">
      <w:bodyDiv w:val="1"/>
      <w:marLeft w:val="0"/>
      <w:marRight w:val="0"/>
      <w:marTop w:val="0"/>
      <w:marBottom w:val="0"/>
      <w:divBdr>
        <w:top w:val="none" w:sz="0" w:space="0" w:color="auto"/>
        <w:left w:val="none" w:sz="0" w:space="0" w:color="auto"/>
        <w:bottom w:val="none" w:sz="0" w:space="0" w:color="auto"/>
        <w:right w:val="none" w:sz="0" w:space="0" w:color="auto"/>
      </w:divBdr>
      <w:divsChild>
        <w:div w:id="2066440514">
          <w:marLeft w:val="403"/>
          <w:marRight w:val="0"/>
          <w:marTop w:val="0"/>
          <w:marBottom w:val="109"/>
          <w:divBdr>
            <w:top w:val="none" w:sz="0" w:space="0" w:color="auto"/>
            <w:left w:val="none" w:sz="0" w:space="0" w:color="auto"/>
            <w:bottom w:val="none" w:sz="0" w:space="0" w:color="auto"/>
            <w:right w:val="none" w:sz="0" w:space="0" w:color="auto"/>
          </w:divBdr>
        </w:div>
        <w:div w:id="262615098">
          <w:marLeft w:val="403"/>
          <w:marRight w:val="0"/>
          <w:marTop w:val="0"/>
          <w:marBottom w:val="109"/>
          <w:divBdr>
            <w:top w:val="none" w:sz="0" w:space="0" w:color="auto"/>
            <w:left w:val="none" w:sz="0" w:space="0" w:color="auto"/>
            <w:bottom w:val="none" w:sz="0" w:space="0" w:color="auto"/>
            <w:right w:val="none" w:sz="0" w:space="0" w:color="auto"/>
          </w:divBdr>
        </w:div>
        <w:div w:id="82186430">
          <w:marLeft w:val="403"/>
          <w:marRight w:val="0"/>
          <w:marTop w:val="0"/>
          <w:marBottom w:val="109"/>
          <w:divBdr>
            <w:top w:val="none" w:sz="0" w:space="0" w:color="auto"/>
            <w:left w:val="none" w:sz="0" w:space="0" w:color="auto"/>
            <w:bottom w:val="none" w:sz="0" w:space="0" w:color="auto"/>
            <w:right w:val="none" w:sz="0" w:space="0" w:color="auto"/>
          </w:divBdr>
        </w:div>
        <w:div w:id="1429086049">
          <w:marLeft w:val="403"/>
          <w:marRight w:val="0"/>
          <w:marTop w:val="0"/>
          <w:marBottom w:val="109"/>
          <w:divBdr>
            <w:top w:val="none" w:sz="0" w:space="0" w:color="auto"/>
            <w:left w:val="none" w:sz="0" w:space="0" w:color="auto"/>
            <w:bottom w:val="none" w:sz="0" w:space="0" w:color="auto"/>
            <w:right w:val="none" w:sz="0" w:space="0" w:color="auto"/>
          </w:divBdr>
        </w:div>
        <w:div w:id="622922576">
          <w:marLeft w:val="403"/>
          <w:marRight w:val="0"/>
          <w:marTop w:val="0"/>
          <w:marBottom w:val="109"/>
          <w:divBdr>
            <w:top w:val="none" w:sz="0" w:space="0" w:color="auto"/>
            <w:left w:val="none" w:sz="0" w:space="0" w:color="auto"/>
            <w:bottom w:val="none" w:sz="0" w:space="0" w:color="auto"/>
            <w:right w:val="none" w:sz="0" w:space="0" w:color="auto"/>
          </w:divBdr>
        </w:div>
      </w:divsChild>
    </w:div>
    <w:div w:id="486015989">
      <w:bodyDiv w:val="1"/>
      <w:marLeft w:val="0"/>
      <w:marRight w:val="0"/>
      <w:marTop w:val="0"/>
      <w:marBottom w:val="0"/>
      <w:divBdr>
        <w:top w:val="none" w:sz="0" w:space="0" w:color="auto"/>
        <w:left w:val="none" w:sz="0" w:space="0" w:color="auto"/>
        <w:bottom w:val="none" w:sz="0" w:space="0" w:color="auto"/>
        <w:right w:val="none" w:sz="0" w:space="0" w:color="auto"/>
      </w:divBdr>
      <w:divsChild>
        <w:div w:id="1594820714">
          <w:marLeft w:val="446"/>
          <w:marRight w:val="0"/>
          <w:marTop w:val="200"/>
          <w:marBottom w:val="0"/>
          <w:divBdr>
            <w:top w:val="none" w:sz="0" w:space="0" w:color="auto"/>
            <w:left w:val="none" w:sz="0" w:space="0" w:color="auto"/>
            <w:bottom w:val="none" w:sz="0" w:space="0" w:color="auto"/>
            <w:right w:val="none" w:sz="0" w:space="0" w:color="auto"/>
          </w:divBdr>
        </w:div>
        <w:div w:id="2064794987">
          <w:marLeft w:val="446"/>
          <w:marRight w:val="0"/>
          <w:marTop w:val="200"/>
          <w:marBottom w:val="0"/>
          <w:divBdr>
            <w:top w:val="none" w:sz="0" w:space="0" w:color="auto"/>
            <w:left w:val="none" w:sz="0" w:space="0" w:color="auto"/>
            <w:bottom w:val="none" w:sz="0" w:space="0" w:color="auto"/>
            <w:right w:val="none" w:sz="0" w:space="0" w:color="auto"/>
          </w:divBdr>
        </w:div>
        <w:div w:id="1977299909">
          <w:marLeft w:val="446"/>
          <w:marRight w:val="0"/>
          <w:marTop w:val="200"/>
          <w:marBottom w:val="0"/>
          <w:divBdr>
            <w:top w:val="none" w:sz="0" w:space="0" w:color="auto"/>
            <w:left w:val="none" w:sz="0" w:space="0" w:color="auto"/>
            <w:bottom w:val="none" w:sz="0" w:space="0" w:color="auto"/>
            <w:right w:val="none" w:sz="0" w:space="0" w:color="auto"/>
          </w:divBdr>
        </w:div>
      </w:divsChild>
    </w:div>
    <w:div w:id="549461537">
      <w:bodyDiv w:val="1"/>
      <w:marLeft w:val="0"/>
      <w:marRight w:val="0"/>
      <w:marTop w:val="0"/>
      <w:marBottom w:val="0"/>
      <w:divBdr>
        <w:top w:val="none" w:sz="0" w:space="0" w:color="auto"/>
        <w:left w:val="none" w:sz="0" w:space="0" w:color="auto"/>
        <w:bottom w:val="none" w:sz="0" w:space="0" w:color="auto"/>
        <w:right w:val="none" w:sz="0" w:space="0" w:color="auto"/>
      </w:divBdr>
      <w:divsChild>
        <w:div w:id="698042493">
          <w:marLeft w:val="490"/>
          <w:marRight w:val="0"/>
          <w:marTop w:val="54"/>
          <w:marBottom w:val="54"/>
          <w:divBdr>
            <w:top w:val="none" w:sz="0" w:space="0" w:color="auto"/>
            <w:left w:val="none" w:sz="0" w:space="0" w:color="auto"/>
            <w:bottom w:val="none" w:sz="0" w:space="0" w:color="auto"/>
            <w:right w:val="none" w:sz="0" w:space="0" w:color="auto"/>
          </w:divBdr>
        </w:div>
        <w:div w:id="2133983605">
          <w:marLeft w:val="490"/>
          <w:marRight w:val="0"/>
          <w:marTop w:val="54"/>
          <w:marBottom w:val="54"/>
          <w:divBdr>
            <w:top w:val="none" w:sz="0" w:space="0" w:color="auto"/>
            <w:left w:val="none" w:sz="0" w:space="0" w:color="auto"/>
            <w:bottom w:val="none" w:sz="0" w:space="0" w:color="auto"/>
            <w:right w:val="none" w:sz="0" w:space="0" w:color="auto"/>
          </w:divBdr>
        </w:div>
        <w:div w:id="690300430">
          <w:marLeft w:val="490"/>
          <w:marRight w:val="0"/>
          <w:marTop w:val="54"/>
          <w:marBottom w:val="54"/>
          <w:divBdr>
            <w:top w:val="none" w:sz="0" w:space="0" w:color="auto"/>
            <w:left w:val="none" w:sz="0" w:space="0" w:color="auto"/>
            <w:bottom w:val="none" w:sz="0" w:space="0" w:color="auto"/>
            <w:right w:val="none" w:sz="0" w:space="0" w:color="auto"/>
          </w:divBdr>
        </w:div>
        <w:div w:id="61605652">
          <w:marLeft w:val="490"/>
          <w:marRight w:val="0"/>
          <w:marTop w:val="54"/>
          <w:marBottom w:val="54"/>
          <w:divBdr>
            <w:top w:val="none" w:sz="0" w:space="0" w:color="auto"/>
            <w:left w:val="none" w:sz="0" w:space="0" w:color="auto"/>
            <w:bottom w:val="none" w:sz="0" w:space="0" w:color="auto"/>
            <w:right w:val="none" w:sz="0" w:space="0" w:color="auto"/>
          </w:divBdr>
        </w:div>
        <w:div w:id="237056176">
          <w:marLeft w:val="490"/>
          <w:marRight w:val="0"/>
          <w:marTop w:val="54"/>
          <w:marBottom w:val="54"/>
          <w:divBdr>
            <w:top w:val="none" w:sz="0" w:space="0" w:color="auto"/>
            <w:left w:val="none" w:sz="0" w:space="0" w:color="auto"/>
            <w:bottom w:val="none" w:sz="0" w:space="0" w:color="auto"/>
            <w:right w:val="none" w:sz="0" w:space="0" w:color="auto"/>
          </w:divBdr>
        </w:div>
        <w:div w:id="1522862368">
          <w:marLeft w:val="490"/>
          <w:marRight w:val="0"/>
          <w:marTop w:val="54"/>
          <w:marBottom w:val="54"/>
          <w:divBdr>
            <w:top w:val="none" w:sz="0" w:space="0" w:color="auto"/>
            <w:left w:val="none" w:sz="0" w:space="0" w:color="auto"/>
            <w:bottom w:val="none" w:sz="0" w:space="0" w:color="auto"/>
            <w:right w:val="none" w:sz="0" w:space="0" w:color="auto"/>
          </w:divBdr>
        </w:div>
        <w:div w:id="681052770">
          <w:marLeft w:val="490"/>
          <w:marRight w:val="0"/>
          <w:marTop w:val="54"/>
          <w:marBottom w:val="54"/>
          <w:divBdr>
            <w:top w:val="none" w:sz="0" w:space="0" w:color="auto"/>
            <w:left w:val="none" w:sz="0" w:space="0" w:color="auto"/>
            <w:bottom w:val="none" w:sz="0" w:space="0" w:color="auto"/>
            <w:right w:val="none" w:sz="0" w:space="0" w:color="auto"/>
          </w:divBdr>
        </w:div>
        <w:div w:id="1974016187">
          <w:marLeft w:val="1238"/>
          <w:marRight w:val="0"/>
          <w:marTop w:val="54"/>
          <w:marBottom w:val="54"/>
          <w:divBdr>
            <w:top w:val="none" w:sz="0" w:space="0" w:color="auto"/>
            <w:left w:val="none" w:sz="0" w:space="0" w:color="auto"/>
            <w:bottom w:val="none" w:sz="0" w:space="0" w:color="auto"/>
            <w:right w:val="none" w:sz="0" w:space="0" w:color="auto"/>
          </w:divBdr>
        </w:div>
        <w:div w:id="104469383">
          <w:marLeft w:val="1238"/>
          <w:marRight w:val="0"/>
          <w:marTop w:val="54"/>
          <w:marBottom w:val="54"/>
          <w:divBdr>
            <w:top w:val="none" w:sz="0" w:space="0" w:color="auto"/>
            <w:left w:val="none" w:sz="0" w:space="0" w:color="auto"/>
            <w:bottom w:val="none" w:sz="0" w:space="0" w:color="auto"/>
            <w:right w:val="none" w:sz="0" w:space="0" w:color="auto"/>
          </w:divBdr>
        </w:div>
      </w:divsChild>
    </w:div>
    <w:div w:id="581834425">
      <w:bodyDiv w:val="1"/>
      <w:marLeft w:val="0"/>
      <w:marRight w:val="0"/>
      <w:marTop w:val="0"/>
      <w:marBottom w:val="0"/>
      <w:divBdr>
        <w:top w:val="none" w:sz="0" w:space="0" w:color="auto"/>
        <w:left w:val="none" w:sz="0" w:space="0" w:color="auto"/>
        <w:bottom w:val="none" w:sz="0" w:space="0" w:color="auto"/>
        <w:right w:val="none" w:sz="0" w:space="0" w:color="auto"/>
      </w:divBdr>
    </w:div>
    <w:div w:id="683945395">
      <w:bodyDiv w:val="1"/>
      <w:marLeft w:val="0"/>
      <w:marRight w:val="0"/>
      <w:marTop w:val="0"/>
      <w:marBottom w:val="0"/>
      <w:divBdr>
        <w:top w:val="none" w:sz="0" w:space="0" w:color="auto"/>
        <w:left w:val="none" w:sz="0" w:space="0" w:color="auto"/>
        <w:bottom w:val="none" w:sz="0" w:space="0" w:color="auto"/>
        <w:right w:val="none" w:sz="0" w:space="0" w:color="auto"/>
      </w:divBdr>
    </w:div>
    <w:div w:id="700056312">
      <w:bodyDiv w:val="1"/>
      <w:marLeft w:val="0"/>
      <w:marRight w:val="0"/>
      <w:marTop w:val="0"/>
      <w:marBottom w:val="0"/>
      <w:divBdr>
        <w:top w:val="none" w:sz="0" w:space="0" w:color="auto"/>
        <w:left w:val="none" w:sz="0" w:space="0" w:color="auto"/>
        <w:bottom w:val="none" w:sz="0" w:space="0" w:color="auto"/>
        <w:right w:val="none" w:sz="0" w:space="0" w:color="auto"/>
      </w:divBdr>
      <w:divsChild>
        <w:div w:id="744914577">
          <w:marLeft w:val="806"/>
          <w:marRight w:val="0"/>
          <w:marTop w:val="0"/>
          <w:marBottom w:val="0"/>
          <w:divBdr>
            <w:top w:val="none" w:sz="0" w:space="0" w:color="auto"/>
            <w:left w:val="none" w:sz="0" w:space="0" w:color="auto"/>
            <w:bottom w:val="none" w:sz="0" w:space="0" w:color="auto"/>
            <w:right w:val="none" w:sz="0" w:space="0" w:color="auto"/>
          </w:divBdr>
        </w:div>
      </w:divsChild>
    </w:div>
    <w:div w:id="747269529">
      <w:bodyDiv w:val="1"/>
      <w:marLeft w:val="0"/>
      <w:marRight w:val="0"/>
      <w:marTop w:val="0"/>
      <w:marBottom w:val="0"/>
      <w:divBdr>
        <w:top w:val="none" w:sz="0" w:space="0" w:color="auto"/>
        <w:left w:val="none" w:sz="0" w:space="0" w:color="auto"/>
        <w:bottom w:val="none" w:sz="0" w:space="0" w:color="auto"/>
        <w:right w:val="none" w:sz="0" w:space="0" w:color="auto"/>
      </w:divBdr>
    </w:div>
    <w:div w:id="776366992">
      <w:bodyDiv w:val="1"/>
      <w:marLeft w:val="0"/>
      <w:marRight w:val="0"/>
      <w:marTop w:val="0"/>
      <w:marBottom w:val="0"/>
      <w:divBdr>
        <w:top w:val="none" w:sz="0" w:space="0" w:color="auto"/>
        <w:left w:val="none" w:sz="0" w:space="0" w:color="auto"/>
        <w:bottom w:val="none" w:sz="0" w:space="0" w:color="auto"/>
        <w:right w:val="none" w:sz="0" w:space="0" w:color="auto"/>
      </w:divBdr>
    </w:div>
    <w:div w:id="789784887">
      <w:bodyDiv w:val="1"/>
      <w:marLeft w:val="0"/>
      <w:marRight w:val="0"/>
      <w:marTop w:val="0"/>
      <w:marBottom w:val="0"/>
      <w:divBdr>
        <w:top w:val="none" w:sz="0" w:space="0" w:color="auto"/>
        <w:left w:val="none" w:sz="0" w:space="0" w:color="auto"/>
        <w:bottom w:val="none" w:sz="0" w:space="0" w:color="auto"/>
        <w:right w:val="none" w:sz="0" w:space="0" w:color="auto"/>
      </w:divBdr>
    </w:div>
    <w:div w:id="817301675">
      <w:bodyDiv w:val="1"/>
      <w:marLeft w:val="0"/>
      <w:marRight w:val="0"/>
      <w:marTop w:val="0"/>
      <w:marBottom w:val="0"/>
      <w:divBdr>
        <w:top w:val="none" w:sz="0" w:space="0" w:color="auto"/>
        <w:left w:val="none" w:sz="0" w:space="0" w:color="auto"/>
        <w:bottom w:val="none" w:sz="0" w:space="0" w:color="auto"/>
        <w:right w:val="none" w:sz="0" w:space="0" w:color="auto"/>
      </w:divBdr>
      <w:divsChild>
        <w:div w:id="1518349048">
          <w:marLeft w:val="446"/>
          <w:marRight w:val="0"/>
          <w:marTop w:val="200"/>
          <w:marBottom w:val="0"/>
          <w:divBdr>
            <w:top w:val="none" w:sz="0" w:space="0" w:color="auto"/>
            <w:left w:val="none" w:sz="0" w:space="0" w:color="auto"/>
            <w:bottom w:val="none" w:sz="0" w:space="0" w:color="auto"/>
            <w:right w:val="none" w:sz="0" w:space="0" w:color="auto"/>
          </w:divBdr>
        </w:div>
        <w:div w:id="523205385">
          <w:marLeft w:val="446"/>
          <w:marRight w:val="0"/>
          <w:marTop w:val="200"/>
          <w:marBottom w:val="0"/>
          <w:divBdr>
            <w:top w:val="none" w:sz="0" w:space="0" w:color="auto"/>
            <w:left w:val="none" w:sz="0" w:space="0" w:color="auto"/>
            <w:bottom w:val="none" w:sz="0" w:space="0" w:color="auto"/>
            <w:right w:val="none" w:sz="0" w:space="0" w:color="auto"/>
          </w:divBdr>
        </w:div>
      </w:divsChild>
    </w:div>
    <w:div w:id="862747390">
      <w:bodyDiv w:val="1"/>
      <w:marLeft w:val="0"/>
      <w:marRight w:val="0"/>
      <w:marTop w:val="0"/>
      <w:marBottom w:val="0"/>
      <w:divBdr>
        <w:top w:val="none" w:sz="0" w:space="0" w:color="auto"/>
        <w:left w:val="none" w:sz="0" w:space="0" w:color="auto"/>
        <w:bottom w:val="none" w:sz="0" w:space="0" w:color="auto"/>
        <w:right w:val="none" w:sz="0" w:space="0" w:color="auto"/>
      </w:divBdr>
      <w:divsChild>
        <w:div w:id="1363507751">
          <w:marLeft w:val="490"/>
          <w:marRight w:val="0"/>
          <w:marTop w:val="0"/>
          <w:marBottom w:val="218"/>
          <w:divBdr>
            <w:top w:val="none" w:sz="0" w:space="0" w:color="auto"/>
            <w:left w:val="none" w:sz="0" w:space="0" w:color="auto"/>
            <w:bottom w:val="none" w:sz="0" w:space="0" w:color="auto"/>
            <w:right w:val="none" w:sz="0" w:space="0" w:color="auto"/>
          </w:divBdr>
        </w:div>
        <w:div w:id="1782259277">
          <w:marLeft w:val="490"/>
          <w:marRight w:val="0"/>
          <w:marTop w:val="0"/>
          <w:marBottom w:val="218"/>
          <w:divBdr>
            <w:top w:val="none" w:sz="0" w:space="0" w:color="auto"/>
            <w:left w:val="none" w:sz="0" w:space="0" w:color="auto"/>
            <w:bottom w:val="none" w:sz="0" w:space="0" w:color="auto"/>
            <w:right w:val="none" w:sz="0" w:space="0" w:color="auto"/>
          </w:divBdr>
        </w:div>
        <w:div w:id="2011177199">
          <w:marLeft w:val="1238"/>
          <w:marRight w:val="0"/>
          <w:marTop w:val="0"/>
          <w:marBottom w:val="109"/>
          <w:divBdr>
            <w:top w:val="none" w:sz="0" w:space="0" w:color="auto"/>
            <w:left w:val="none" w:sz="0" w:space="0" w:color="auto"/>
            <w:bottom w:val="none" w:sz="0" w:space="0" w:color="auto"/>
            <w:right w:val="none" w:sz="0" w:space="0" w:color="auto"/>
          </w:divBdr>
        </w:div>
        <w:div w:id="1177841745">
          <w:marLeft w:val="1238"/>
          <w:marRight w:val="0"/>
          <w:marTop w:val="0"/>
          <w:marBottom w:val="109"/>
          <w:divBdr>
            <w:top w:val="none" w:sz="0" w:space="0" w:color="auto"/>
            <w:left w:val="none" w:sz="0" w:space="0" w:color="auto"/>
            <w:bottom w:val="none" w:sz="0" w:space="0" w:color="auto"/>
            <w:right w:val="none" w:sz="0" w:space="0" w:color="auto"/>
          </w:divBdr>
        </w:div>
        <w:div w:id="1619220894">
          <w:marLeft w:val="1238"/>
          <w:marRight w:val="0"/>
          <w:marTop w:val="0"/>
          <w:marBottom w:val="109"/>
          <w:divBdr>
            <w:top w:val="none" w:sz="0" w:space="0" w:color="auto"/>
            <w:left w:val="none" w:sz="0" w:space="0" w:color="auto"/>
            <w:bottom w:val="none" w:sz="0" w:space="0" w:color="auto"/>
            <w:right w:val="none" w:sz="0" w:space="0" w:color="auto"/>
          </w:divBdr>
        </w:div>
      </w:divsChild>
    </w:div>
    <w:div w:id="933517935">
      <w:bodyDiv w:val="1"/>
      <w:marLeft w:val="0"/>
      <w:marRight w:val="0"/>
      <w:marTop w:val="0"/>
      <w:marBottom w:val="0"/>
      <w:divBdr>
        <w:top w:val="none" w:sz="0" w:space="0" w:color="auto"/>
        <w:left w:val="none" w:sz="0" w:space="0" w:color="auto"/>
        <w:bottom w:val="none" w:sz="0" w:space="0" w:color="auto"/>
        <w:right w:val="none" w:sz="0" w:space="0" w:color="auto"/>
      </w:divBdr>
      <w:divsChild>
        <w:div w:id="1613976733">
          <w:marLeft w:val="446"/>
          <w:marRight w:val="0"/>
          <w:marTop w:val="200"/>
          <w:marBottom w:val="0"/>
          <w:divBdr>
            <w:top w:val="none" w:sz="0" w:space="0" w:color="auto"/>
            <w:left w:val="none" w:sz="0" w:space="0" w:color="auto"/>
            <w:bottom w:val="none" w:sz="0" w:space="0" w:color="auto"/>
            <w:right w:val="none" w:sz="0" w:space="0" w:color="auto"/>
          </w:divBdr>
        </w:div>
        <w:div w:id="827289926">
          <w:marLeft w:val="446"/>
          <w:marRight w:val="0"/>
          <w:marTop w:val="200"/>
          <w:marBottom w:val="0"/>
          <w:divBdr>
            <w:top w:val="none" w:sz="0" w:space="0" w:color="auto"/>
            <w:left w:val="none" w:sz="0" w:space="0" w:color="auto"/>
            <w:bottom w:val="none" w:sz="0" w:space="0" w:color="auto"/>
            <w:right w:val="none" w:sz="0" w:space="0" w:color="auto"/>
          </w:divBdr>
        </w:div>
      </w:divsChild>
    </w:div>
    <w:div w:id="976107520">
      <w:bodyDiv w:val="1"/>
      <w:marLeft w:val="0"/>
      <w:marRight w:val="0"/>
      <w:marTop w:val="0"/>
      <w:marBottom w:val="0"/>
      <w:divBdr>
        <w:top w:val="none" w:sz="0" w:space="0" w:color="auto"/>
        <w:left w:val="none" w:sz="0" w:space="0" w:color="auto"/>
        <w:bottom w:val="none" w:sz="0" w:space="0" w:color="auto"/>
        <w:right w:val="none" w:sz="0" w:space="0" w:color="auto"/>
      </w:divBdr>
    </w:div>
    <w:div w:id="1042175395">
      <w:bodyDiv w:val="1"/>
      <w:marLeft w:val="0"/>
      <w:marRight w:val="0"/>
      <w:marTop w:val="0"/>
      <w:marBottom w:val="0"/>
      <w:divBdr>
        <w:top w:val="none" w:sz="0" w:space="0" w:color="auto"/>
        <w:left w:val="none" w:sz="0" w:space="0" w:color="auto"/>
        <w:bottom w:val="none" w:sz="0" w:space="0" w:color="auto"/>
        <w:right w:val="none" w:sz="0" w:space="0" w:color="auto"/>
      </w:divBdr>
      <w:divsChild>
        <w:div w:id="1933968322">
          <w:marLeft w:val="490"/>
          <w:marRight w:val="0"/>
          <w:marTop w:val="109"/>
          <w:marBottom w:val="109"/>
          <w:divBdr>
            <w:top w:val="none" w:sz="0" w:space="0" w:color="auto"/>
            <w:left w:val="none" w:sz="0" w:space="0" w:color="auto"/>
            <w:bottom w:val="none" w:sz="0" w:space="0" w:color="auto"/>
            <w:right w:val="none" w:sz="0" w:space="0" w:color="auto"/>
          </w:divBdr>
        </w:div>
        <w:div w:id="419105564">
          <w:marLeft w:val="490"/>
          <w:marRight w:val="0"/>
          <w:marTop w:val="109"/>
          <w:marBottom w:val="109"/>
          <w:divBdr>
            <w:top w:val="none" w:sz="0" w:space="0" w:color="auto"/>
            <w:left w:val="none" w:sz="0" w:space="0" w:color="auto"/>
            <w:bottom w:val="none" w:sz="0" w:space="0" w:color="auto"/>
            <w:right w:val="none" w:sz="0" w:space="0" w:color="auto"/>
          </w:divBdr>
        </w:div>
      </w:divsChild>
    </w:div>
    <w:div w:id="1056127277">
      <w:bodyDiv w:val="1"/>
      <w:marLeft w:val="0"/>
      <w:marRight w:val="0"/>
      <w:marTop w:val="0"/>
      <w:marBottom w:val="0"/>
      <w:divBdr>
        <w:top w:val="none" w:sz="0" w:space="0" w:color="auto"/>
        <w:left w:val="none" w:sz="0" w:space="0" w:color="auto"/>
        <w:bottom w:val="none" w:sz="0" w:space="0" w:color="auto"/>
        <w:right w:val="none" w:sz="0" w:space="0" w:color="auto"/>
      </w:divBdr>
    </w:div>
    <w:div w:id="1104423130">
      <w:bodyDiv w:val="1"/>
      <w:marLeft w:val="0"/>
      <w:marRight w:val="0"/>
      <w:marTop w:val="0"/>
      <w:marBottom w:val="0"/>
      <w:divBdr>
        <w:top w:val="none" w:sz="0" w:space="0" w:color="auto"/>
        <w:left w:val="none" w:sz="0" w:space="0" w:color="auto"/>
        <w:bottom w:val="none" w:sz="0" w:space="0" w:color="auto"/>
        <w:right w:val="none" w:sz="0" w:space="0" w:color="auto"/>
      </w:divBdr>
    </w:div>
    <w:div w:id="1146582373">
      <w:bodyDiv w:val="1"/>
      <w:marLeft w:val="0"/>
      <w:marRight w:val="0"/>
      <w:marTop w:val="0"/>
      <w:marBottom w:val="0"/>
      <w:divBdr>
        <w:top w:val="none" w:sz="0" w:space="0" w:color="auto"/>
        <w:left w:val="none" w:sz="0" w:space="0" w:color="auto"/>
        <w:bottom w:val="none" w:sz="0" w:space="0" w:color="auto"/>
        <w:right w:val="none" w:sz="0" w:space="0" w:color="auto"/>
      </w:divBdr>
    </w:div>
    <w:div w:id="1299066852">
      <w:bodyDiv w:val="1"/>
      <w:marLeft w:val="0"/>
      <w:marRight w:val="0"/>
      <w:marTop w:val="0"/>
      <w:marBottom w:val="0"/>
      <w:divBdr>
        <w:top w:val="none" w:sz="0" w:space="0" w:color="auto"/>
        <w:left w:val="none" w:sz="0" w:space="0" w:color="auto"/>
        <w:bottom w:val="none" w:sz="0" w:space="0" w:color="auto"/>
        <w:right w:val="none" w:sz="0" w:space="0" w:color="auto"/>
      </w:divBdr>
      <w:divsChild>
        <w:div w:id="1368291589">
          <w:marLeft w:val="490"/>
          <w:marRight w:val="0"/>
          <w:marTop w:val="0"/>
          <w:marBottom w:val="0"/>
          <w:divBdr>
            <w:top w:val="none" w:sz="0" w:space="0" w:color="auto"/>
            <w:left w:val="none" w:sz="0" w:space="0" w:color="auto"/>
            <w:bottom w:val="none" w:sz="0" w:space="0" w:color="auto"/>
            <w:right w:val="none" w:sz="0" w:space="0" w:color="auto"/>
          </w:divBdr>
        </w:div>
        <w:div w:id="1937982167">
          <w:marLeft w:val="490"/>
          <w:marRight w:val="0"/>
          <w:marTop w:val="109"/>
          <w:marBottom w:val="109"/>
          <w:divBdr>
            <w:top w:val="none" w:sz="0" w:space="0" w:color="auto"/>
            <w:left w:val="none" w:sz="0" w:space="0" w:color="auto"/>
            <w:bottom w:val="none" w:sz="0" w:space="0" w:color="auto"/>
            <w:right w:val="none" w:sz="0" w:space="0" w:color="auto"/>
          </w:divBdr>
        </w:div>
        <w:div w:id="1907254213">
          <w:marLeft w:val="490"/>
          <w:marRight w:val="0"/>
          <w:marTop w:val="109"/>
          <w:marBottom w:val="109"/>
          <w:divBdr>
            <w:top w:val="none" w:sz="0" w:space="0" w:color="auto"/>
            <w:left w:val="none" w:sz="0" w:space="0" w:color="auto"/>
            <w:bottom w:val="none" w:sz="0" w:space="0" w:color="auto"/>
            <w:right w:val="none" w:sz="0" w:space="0" w:color="auto"/>
          </w:divBdr>
        </w:div>
        <w:div w:id="585697298">
          <w:marLeft w:val="490"/>
          <w:marRight w:val="0"/>
          <w:marTop w:val="0"/>
          <w:marBottom w:val="0"/>
          <w:divBdr>
            <w:top w:val="none" w:sz="0" w:space="0" w:color="auto"/>
            <w:left w:val="none" w:sz="0" w:space="0" w:color="auto"/>
            <w:bottom w:val="none" w:sz="0" w:space="0" w:color="auto"/>
            <w:right w:val="none" w:sz="0" w:space="0" w:color="auto"/>
          </w:divBdr>
        </w:div>
        <w:div w:id="1057389899">
          <w:marLeft w:val="490"/>
          <w:marRight w:val="0"/>
          <w:marTop w:val="0"/>
          <w:marBottom w:val="0"/>
          <w:divBdr>
            <w:top w:val="none" w:sz="0" w:space="0" w:color="auto"/>
            <w:left w:val="none" w:sz="0" w:space="0" w:color="auto"/>
            <w:bottom w:val="none" w:sz="0" w:space="0" w:color="auto"/>
            <w:right w:val="none" w:sz="0" w:space="0" w:color="auto"/>
          </w:divBdr>
        </w:div>
      </w:divsChild>
    </w:div>
    <w:div w:id="1301959959">
      <w:bodyDiv w:val="1"/>
      <w:marLeft w:val="0"/>
      <w:marRight w:val="0"/>
      <w:marTop w:val="0"/>
      <w:marBottom w:val="0"/>
      <w:divBdr>
        <w:top w:val="none" w:sz="0" w:space="0" w:color="auto"/>
        <w:left w:val="none" w:sz="0" w:space="0" w:color="auto"/>
        <w:bottom w:val="none" w:sz="0" w:space="0" w:color="auto"/>
        <w:right w:val="none" w:sz="0" w:space="0" w:color="auto"/>
      </w:divBdr>
    </w:div>
    <w:div w:id="1327398514">
      <w:bodyDiv w:val="1"/>
      <w:marLeft w:val="0"/>
      <w:marRight w:val="0"/>
      <w:marTop w:val="0"/>
      <w:marBottom w:val="0"/>
      <w:divBdr>
        <w:top w:val="none" w:sz="0" w:space="0" w:color="auto"/>
        <w:left w:val="none" w:sz="0" w:space="0" w:color="auto"/>
        <w:bottom w:val="none" w:sz="0" w:space="0" w:color="auto"/>
        <w:right w:val="none" w:sz="0" w:space="0" w:color="auto"/>
      </w:divBdr>
    </w:div>
    <w:div w:id="1368992562">
      <w:bodyDiv w:val="1"/>
      <w:marLeft w:val="0"/>
      <w:marRight w:val="0"/>
      <w:marTop w:val="0"/>
      <w:marBottom w:val="0"/>
      <w:divBdr>
        <w:top w:val="none" w:sz="0" w:space="0" w:color="auto"/>
        <w:left w:val="none" w:sz="0" w:space="0" w:color="auto"/>
        <w:bottom w:val="none" w:sz="0" w:space="0" w:color="auto"/>
        <w:right w:val="none" w:sz="0" w:space="0" w:color="auto"/>
      </w:divBdr>
      <w:divsChild>
        <w:div w:id="1461924564">
          <w:marLeft w:val="1152"/>
          <w:marRight w:val="0"/>
          <w:marTop w:val="0"/>
          <w:marBottom w:val="0"/>
          <w:divBdr>
            <w:top w:val="none" w:sz="0" w:space="0" w:color="auto"/>
            <w:left w:val="none" w:sz="0" w:space="0" w:color="auto"/>
            <w:bottom w:val="none" w:sz="0" w:space="0" w:color="auto"/>
            <w:right w:val="none" w:sz="0" w:space="0" w:color="auto"/>
          </w:divBdr>
        </w:div>
        <w:div w:id="1298876466">
          <w:marLeft w:val="1152"/>
          <w:marRight w:val="0"/>
          <w:marTop w:val="0"/>
          <w:marBottom w:val="0"/>
          <w:divBdr>
            <w:top w:val="none" w:sz="0" w:space="0" w:color="auto"/>
            <w:left w:val="none" w:sz="0" w:space="0" w:color="auto"/>
            <w:bottom w:val="none" w:sz="0" w:space="0" w:color="auto"/>
            <w:right w:val="none" w:sz="0" w:space="0" w:color="auto"/>
          </w:divBdr>
        </w:div>
        <w:div w:id="1107459383">
          <w:marLeft w:val="1152"/>
          <w:marRight w:val="0"/>
          <w:marTop w:val="0"/>
          <w:marBottom w:val="0"/>
          <w:divBdr>
            <w:top w:val="none" w:sz="0" w:space="0" w:color="auto"/>
            <w:left w:val="none" w:sz="0" w:space="0" w:color="auto"/>
            <w:bottom w:val="none" w:sz="0" w:space="0" w:color="auto"/>
            <w:right w:val="none" w:sz="0" w:space="0" w:color="auto"/>
          </w:divBdr>
        </w:div>
      </w:divsChild>
    </w:div>
    <w:div w:id="1401439756">
      <w:bodyDiv w:val="1"/>
      <w:marLeft w:val="0"/>
      <w:marRight w:val="0"/>
      <w:marTop w:val="0"/>
      <w:marBottom w:val="0"/>
      <w:divBdr>
        <w:top w:val="none" w:sz="0" w:space="0" w:color="auto"/>
        <w:left w:val="none" w:sz="0" w:space="0" w:color="auto"/>
        <w:bottom w:val="none" w:sz="0" w:space="0" w:color="auto"/>
        <w:right w:val="none" w:sz="0" w:space="0" w:color="auto"/>
      </w:divBdr>
    </w:div>
    <w:div w:id="1416826537">
      <w:bodyDiv w:val="1"/>
      <w:marLeft w:val="0"/>
      <w:marRight w:val="0"/>
      <w:marTop w:val="0"/>
      <w:marBottom w:val="0"/>
      <w:divBdr>
        <w:top w:val="none" w:sz="0" w:space="0" w:color="auto"/>
        <w:left w:val="none" w:sz="0" w:space="0" w:color="auto"/>
        <w:bottom w:val="none" w:sz="0" w:space="0" w:color="auto"/>
        <w:right w:val="none" w:sz="0" w:space="0" w:color="auto"/>
      </w:divBdr>
    </w:div>
    <w:div w:id="1450202065">
      <w:bodyDiv w:val="1"/>
      <w:marLeft w:val="0"/>
      <w:marRight w:val="0"/>
      <w:marTop w:val="0"/>
      <w:marBottom w:val="0"/>
      <w:divBdr>
        <w:top w:val="none" w:sz="0" w:space="0" w:color="auto"/>
        <w:left w:val="none" w:sz="0" w:space="0" w:color="auto"/>
        <w:bottom w:val="none" w:sz="0" w:space="0" w:color="auto"/>
        <w:right w:val="none" w:sz="0" w:space="0" w:color="auto"/>
      </w:divBdr>
    </w:div>
    <w:div w:id="1458529633">
      <w:bodyDiv w:val="1"/>
      <w:marLeft w:val="0"/>
      <w:marRight w:val="0"/>
      <w:marTop w:val="0"/>
      <w:marBottom w:val="0"/>
      <w:divBdr>
        <w:top w:val="none" w:sz="0" w:space="0" w:color="auto"/>
        <w:left w:val="none" w:sz="0" w:space="0" w:color="auto"/>
        <w:bottom w:val="none" w:sz="0" w:space="0" w:color="auto"/>
        <w:right w:val="none" w:sz="0" w:space="0" w:color="auto"/>
      </w:divBdr>
    </w:div>
    <w:div w:id="1520316151">
      <w:bodyDiv w:val="1"/>
      <w:marLeft w:val="0"/>
      <w:marRight w:val="0"/>
      <w:marTop w:val="0"/>
      <w:marBottom w:val="0"/>
      <w:divBdr>
        <w:top w:val="none" w:sz="0" w:space="0" w:color="auto"/>
        <w:left w:val="none" w:sz="0" w:space="0" w:color="auto"/>
        <w:bottom w:val="none" w:sz="0" w:space="0" w:color="auto"/>
        <w:right w:val="none" w:sz="0" w:space="0" w:color="auto"/>
      </w:divBdr>
      <w:divsChild>
        <w:div w:id="596448655">
          <w:marLeft w:val="648"/>
          <w:marRight w:val="0"/>
          <w:marTop w:val="0"/>
          <w:marBottom w:val="109"/>
          <w:divBdr>
            <w:top w:val="none" w:sz="0" w:space="0" w:color="auto"/>
            <w:left w:val="none" w:sz="0" w:space="0" w:color="auto"/>
            <w:bottom w:val="none" w:sz="0" w:space="0" w:color="auto"/>
            <w:right w:val="none" w:sz="0" w:space="0" w:color="auto"/>
          </w:divBdr>
        </w:div>
        <w:div w:id="554706826">
          <w:marLeft w:val="648"/>
          <w:marRight w:val="0"/>
          <w:marTop w:val="0"/>
          <w:marBottom w:val="109"/>
          <w:divBdr>
            <w:top w:val="none" w:sz="0" w:space="0" w:color="auto"/>
            <w:left w:val="none" w:sz="0" w:space="0" w:color="auto"/>
            <w:bottom w:val="none" w:sz="0" w:space="0" w:color="auto"/>
            <w:right w:val="none" w:sz="0" w:space="0" w:color="auto"/>
          </w:divBdr>
        </w:div>
      </w:divsChild>
    </w:div>
    <w:div w:id="1523742093">
      <w:bodyDiv w:val="1"/>
      <w:marLeft w:val="0"/>
      <w:marRight w:val="0"/>
      <w:marTop w:val="0"/>
      <w:marBottom w:val="0"/>
      <w:divBdr>
        <w:top w:val="none" w:sz="0" w:space="0" w:color="auto"/>
        <w:left w:val="none" w:sz="0" w:space="0" w:color="auto"/>
        <w:bottom w:val="none" w:sz="0" w:space="0" w:color="auto"/>
        <w:right w:val="none" w:sz="0" w:space="0" w:color="auto"/>
      </w:divBdr>
    </w:div>
    <w:div w:id="1570336671">
      <w:bodyDiv w:val="1"/>
      <w:marLeft w:val="0"/>
      <w:marRight w:val="0"/>
      <w:marTop w:val="0"/>
      <w:marBottom w:val="0"/>
      <w:divBdr>
        <w:top w:val="none" w:sz="0" w:space="0" w:color="auto"/>
        <w:left w:val="none" w:sz="0" w:space="0" w:color="auto"/>
        <w:bottom w:val="none" w:sz="0" w:space="0" w:color="auto"/>
        <w:right w:val="none" w:sz="0" w:space="0" w:color="auto"/>
      </w:divBdr>
      <w:divsChild>
        <w:div w:id="287860918">
          <w:marLeft w:val="490"/>
          <w:marRight w:val="0"/>
          <w:marTop w:val="54"/>
          <w:marBottom w:val="54"/>
          <w:divBdr>
            <w:top w:val="none" w:sz="0" w:space="0" w:color="auto"/>
            <w:left w:val="none" w:sz="0" w:space="0" w:color="auto"/>
            <w:bottom w:val="none" w:sz="0" w:space="0" w:color="auto"/>
            <w:right w:val="none" w:sz="0" w:space="0" w:color="auto"/>
          </w:divBdr>
        </w:div>
        <w:div w:id="1788351108">
          <w:marLeft w:val="490"/>
          <w:marRight w:val="0"/>
          <w:marTop w:val="54"/>
          <w:marBottom w:val="54"/>
          <w:divBdr>
            <w:top w:val="none" w:sz="0" w:space="0" w:color="auto"/>
            <w:left w:val="none" w:sz="0" w:space="0" w:color="auto"/>
            <w:bottom w:val="none" w:sz="0" w:space="0" w:color="auto"/>
            <w:right w:val="none" w:sz="0" w:space="0" w:color="auto"/>
          </w:divBdr>
        </w:div>
        <w:div w:id="360739281">
          <w:marLeft w:val="1238"/>
          <w:marRight w:val="0"/>
          <w:marTop w:val="54"/>
          <w:marBottom w:val="54"/>
          <w:divBdr>
            <w:top w:val="none" w:sz="0" w:space="0" w:color="auto"/>
            <w:left w:val="none" w:sz="0" w:space="0" w:color="auto"/>
            <w:bottom w:val="none" w:sz="0" w:space="0" w:color="auto"/>
            <w:right w:val="none" w:sz="0" w:space="0" w:color="auto"/>
          </w:divBdr>
        </w:div>
        <w:div w:id="696732126">
          <w:marLeft w:val="1238"/>
          <w:marRight w:val="0"/>
          <w:marTop w:val="54"/>
          <w:marBottom w:val="54"/>
          <w:divBdr>
            <w:top w:val="none" w:sz="0" w:space="0" w:color="auto"/>
            <w:left w:val="none" w:sz="0" w:space="0" w:color="auto"/>
            <w:bottom w:val="none" w:sz="0" w:space="0" w:color="auto"/>
            <w:right w:val="none" w:sz="0" w:space="0" w:color="auto"/>
          </w:divBdr>
        </w:div>
        <w:div w:id="735780194">
          <w:marLeft w:val="490"/>
          <w:marRight w:val="0"/>
          <w:marTop w:val="54"/>
          <w:marBottom w:val="54"/>
          <w:divBdr>
            <w:top w:val="none" w:sz="0" w:space="0" w:color="auto"/>
            <w:left w:val="none" w:sz="0" w:space="0" w:color="auto"/>
            <w:bottom w:val="none" w:sz="0" w:space="0" w:color="auto"/>
            <w:right w:val="none" w:sz="0" w:space="0" w:color="auto"/>
          </w:divBdr>
        </w:div>
        <w:div w:id="2059208797">
          <w:marLeft w:val="490"/>
          <w:marRight w:val="0"/>
          <w:marTop w:val="54"/>
          <w:marBottom w:val="54"/>
          <w:divBdr>
            <w:top w:val="none" w:sz="0" w:space="0" w:color="auto"/>
            <w:left w:val="none" w:sz="0" w:space="0" w:color="auto"/>
            <w:bottom w:val="none" w:sz="0" w:space="0" w:color="auto"/>
            <w:right w:val="none" w:sz="0" w:space="0" w:color="auto"/>
          </w:divBdr>
        </w:div>
      </w:divsChild>
    </w:div>
    <w:div w:id="1612661163">
      <w:bodyDiv w:val="1"/>
      <w:marLeft w:val="0"/>
      <w:marRight w:val="0"/>
      <w:marTop w:val="0"/>
      <w:marBottom w:val="0"/>
      <w:divBdr>
        <w:top w:val="none" w:sz="0" w:space="0" w:color="auto"/>
        <w:left w:val="none" w:sz="0" w:space="0" w:color="auto"/>
        <w:bottom w:val="none" w:sz="0" w:space="0" w:color="auto"/>
        <w:right w:val="none" w:sz="0" w:space="0" w:color="auto"/>
      </w:divBdr>
      <w:divsChild>
        <w:div w:id="1324629172">
          <w:marLeft w:val="490"/>
          <w:marRight w:val="0"/>
          <w:marTop w:val="0"/>
          <w:marBottom w:val="218"/>
          <w:divBdr>
            <w:top w:val="none" w:sz="0" w:space="0" w:color="auto"/>
            <w:left w:val="none" w:sz="0" w:space="0" w:color="auto"/>
            <w:bottom w:val="none" w:sz="0" w:space="0" w:color="auto"/>
            <w:right w:val="none" w:sz="0" w:space="0" w:color="auto"/>
          </w:divBdr>
        </w:div>
        <w:div w:id="1872760567">
          <w:marLeft w:val="490"/>
          <w:marRight w:val="0"/>
          <w:marTop w:val="0"/>
          <w:marBottom w:val="218"/>
          <w:divBdr>
            <w:top w:val="none" w:sz="0" w:space="0" w:color="auto"/>
            <w:left w:val="none" w:sz="0" w:space="0" w:color="auto"/>
            <w:bottom w:val="none" w:sz="0" w:space="0" w:color="auto"/>
            <w:right w:val="none" w:sz="0" w:space="0" w:color="auto"/>
          </w:divBdr>
        </w:div>
        <w:div w:id="391081023">
          <w:marLeft w:val="490"/>
          <w:marRight w:val="0"/>
          <w:marTop w:val="0"/>
          <w:marBottom w:val="218"/>
          <w:divBdr>
            <w:top w:val="none" w:sz="0" w:space="0" w:color="auto"/>
            <w:left w:val="none" w:sz="0" w:space="0" w:color="auto"/>
            <w:bottom w:val="none" w:sz="0" w:space="0" w:color="auto"/>
            <w:right w:val="none" w:sz="0" w:space="0" w:color="auto"/>
          </w:divBdr>
        </w:div>
        <w:div w:id="1494565920">
          <w:marLeft w:val="490"/>
          <w:marRight w:val="0"/>
          <w:marTop w:val="0"/>
          <w:marBottom w:val="218"/>
          <w:divBdr>
            <w:top w:val="none" w:sz="0" w:space="0" w:color="auto"/>
            <w:left w:val="none" w:sz="0" w:space="0" w:color="auto"/>
            <w:bottom w:val="none" w:sz="0" w:space="0" w:color="auto"/>
            <w:right w:val="none" w:sz="0" w:space="0" w:color="auto"/>
          </w:divBdr>
        </w:div>
        <w:div w:id="1624266594">
          <w:marLeft w:val="490"/>
          <w:marRight w:val="0"/>
          <w:marTop w:val="0"/>
          <w:marBottom w:val="218"/>
          <w:divBdr>
            <w:top w:val="none" w:sz="0" w:space="0" w:color="auto"/>
            <w:left w:val="none" w:sz="0" w:space="0" w:color="auto"/>
            <w:bottom w:val="none" w:sz="0" w:space="0" w:color="auto"/>
            <w:right w:val="none" w:sz="0" w:space="0" w:color="auto"/>
          </w:divBdr>
        </w:div>
        <w:div w:id="1426419962">
          <w:marLeft w:val="490"/>
          <w:marRight w:val="0"/>
          <w:marTop w:val="0"/>
          <w:marBottom w:val="218"/>
          <w:divBdr>
            <w:top w:val="none" w:sz="0" w:space="0" w:color="auto"/>
            <w:left w:val="none" w:sz="0" w:space="0" w:color="auto"/>
            <w:bottom w:val="none" w:sz="0" w:space="0" w:color="auto"/>
            <w:right w:val="none" w:sz="0" w:space="0" w:color="auto"/>
          </w:divBdr>
        </w:div>
      </w:divsChild>
    </w:div>
    <w:div w:id="1641225317">
      <w:bodyDiv w:val="1"/>
      <w:marLeft w:val="0"/>
      <w:marRight w:val="0"/>
      <w:marTop w:val="0"/>
      <w:marBottom w:val="0"/>
      <w:divBdr>
        <w:top w:val="none" w:sz="0" w:space="0" w:color="auto"/>
        <w:left w:val="none" w:sz="0" w:space="0" w:color="auto"/>
        <w:bottom w:val="none" w:sz="0" w:space="0" w:color="auto"/>
        <w:right w:val="none" w:sz="0" w:space="0" w:color="auto"/>
      </w:divBdr>
    </w:div>
    <w:div w:id="1700619345">
      <w:bodyDiv w:val="1"/>
      <w:marLeft w:val="0"/>
      <w:marRight w:val="0"/>
      <w:marTop w:val="0"/>
      <w:marBottom w:val="0"/>
      <w:divBdr>
        <w:top w:val="none" w:sz="0" w:space="0" w:color="auto"/>
        <w:left w:val="none" w:sz="0" w:space="0" w:color="auto"/>
        <w:bottom w:val="none" w:sz="0" w:space="0" w:color="auto"/>
        <w:right w:val="none" w:sz="0" w:space="0" w:color="auto"/>
      </w:divBdr>
    </w:div>
    <w:div w:id="1701281557">
      <w:bodyDiv w:val="1"/>
      <w:marLeft w:val="0"/>
      <w:marRight w:val="0"/>
      <w:marTop w:val="0"/>
      <w:marBottom w:val="0"/>
      <w:divBdr>
        <w:top w:val="none" w:sz="0" w:space="0" w:color="auto"/>
        <w:left w:val="none" w:sz="0" w:space="0" w:color="auto"/>
        <w:bottom w:val="none" w:sz="0" w:space="0" w:color="auto"/>
        <w:right w:val="none" w:sz="0" w:space="0" w:color="auto"/>
      </w:divBdr>
      <w:divsChild>
        <w:div w:id="870411334">
          <w:marLeft w:val="403"/>
          <w:marRight w:val="0"/>
          <w:marTop w:val="0"/>
          <w:marBottom w:val="109"/>
          <w:divBdr>
            <w:top w:val="none" w:sz="0" w:space="0" w:color="auto"/>
            <w:left w:val="none" w:sz="0" w:space="0" w:color="auto"/>
            <w:bottom w:val="none" w:sz="0" w:space="0" w:color="auto"/>
            <w:right w:val="none" w:sz="0" w:space="0" w:color="auto"/>
          </w:divBdr>
        </w:div>
        <w:div w:id="1258516925">
          <w:marLeft w:val="403"/>
          <w:marRight w:val="0"/>
          <w:marTop w:val="0"/>
          <w:marBottom w:val="109"/>
          <w:divBdr>
            <w:top w:val="none" w:sz="0" w:space="0" w:color="auto"/>
            <w:left w:val="none" w:sz="0" w:space="0" w:color="auto"/>
            <w:bottom w:val="none" w:sz="0" w:space="0" w:color="auto"/>
            <w:right w:val="none" w:sz="0" w:space="0" w:color="auto"/>
          </w:divBdr>
        </w:div>
        <w:div w:id="51780322">
          <w:marLeft w:val="403"/>
          <w:marRight w:val="0"/>
          <w:marTop w:val="0"/>
          <w:marBottom w:val="109"/>
          <w:divBdr>
            <w:top w:val="none" w:sz="0" w:space="0" w:color="auto"/>
            <w:left w:val="none" w:sz="0" w:space="0" w:color="auto"/>
            <w:bottom w:val="none" w:sz="0" w:space="0" w:color="auto"/>
            <w:right w:val="none" w:sz="0" w:space="0" w:color="auto"/>
          </w:divBdr>
        </w:div>
        <w:div w:id="261963152">
          <w:marLeft w:val="403"/>
          <w:marRight w:val="0"/>
          <w:marTop w:val="0"/>
          <w:marBottom w:val="109"/>
          <w:divBdr>
            <w:top w:val="none" w:sz="0" w:space="0" w:color="auto"/>
            <w:left w:val="none" w:sz="0" w:space="0" w:color="auto"/>
            <w:bottom w:val="none" w:sz="0" w:space="0" w:color="auto"/>
            <w:right w:val="none" w:sz="0" w:space="0" w:color="auto"/>
          </w:divBdr>
        </w:div>
      </w:divsChild>
    </w:div>
    <w:div w:id="1726027749">
      <w:bodyDiv w:val="1"/>
      <w:marLeft w:val="0"/>
      <w:marRight w:val="0"/>
      <w:marTop w:val="0"/>
      <w:marBottom w:val="0"/>
      <w:divBdr>
        <w:top w:val="none" w:sz="0" w:space="0" w:color="auto"/>
        <w:left w:val="none" w:sz="0" w:space="0" w:color="auto"/>
        <w:bottom w:val="none" w:sz="0" w:space="0" w:color="auto"/>
        <w:right w:val="none" w:sz="0" w:space="0" w:color="auto"/>
      </w:divBdr>
    </w:div>
    <w:div w:id="1749184203">
      <w:bodyDiv w:val="1"/>
      <w:marLeft w:val="0"/>
      <w:marRight w:val="0"/>
      <w:marTop w:val="0"/>
      <w:marBottom w:val="0"/>
      <w:divBdr>
        <w:top w:val="none" w:sz="0" w:space="0" w:color="auto"/>
        <w:left w:val="none" w:sz="0" w:space="0" w:color="auto"/>
        <w:bottom w:val="none" w:sz="0" w:space="0" w:color="auto"/>
        <w:right w:val="none" w:sz="0" w:space="0" w:color="auto"/>
      </w:divBdr>
    </w:div>
    <w:div w:id="1763796023">
      <w:bodyDiv w:val="1"/>
      <w:marLeft w:val="0"/>
      <w:marRight w:val="0"/>
      <w:marTop w:val="0"/>
      <w:marBottom w:val="0"/>
      <w:divBdr>
        <w:top w:val="none" w:sz="0" w:space="0" w:color="auto"/>
        <w:left w:val="none" w:sz="0" w:space="0" w:color="auto"/>
        <w:bottom w:val="none" w:sz="0" w:space="0" w:color="auto"/>
        <w:right w:val="none" w:sz="0" w:space="0" w:color="auto"/>
      </w:divBdr>
    </w:div>
    <w:div w:id="1770660586">
      <w:bodyDiv w:val="1"/>
      <w:marLeft w:val="0"/>
      <w:marRight w:val="0"/>
      <w:marTop w:val="0"/>
      <w:marBottom w:val="0"/>
      <w:divBdr>
        <w:top w:val="none" w:sz="0" w:space="0" w:color="auto"/>
        <w:left w:val="none" w:sz="0" w:space="0" w:color="auto"/>
        <w:bottom w:val="none" w:sz="0" w:space="0" w:color="auto"/>
        <w:right w:val="none" w:sz="0" w:space="0" w:color="auto"/>
      </w:divBdr>
    </w:div>
    <w:div w:id="1893686074">
      <w:bodyDiv w:val="1"/>
      <w:marLeft w:val="0"/>
      <w:marRight w:val="0"/>
      <w:marTop w:val="0"/>
      <w:marBottom w:val="0"/>
      <w:divBdr>
        <w:top w:val="none" w:sz="0" w:space="0" w:color="auto"/>
        <w:left w:val="none" w:sz="0" w:space="0" w:color="auto"/>
        <w:bottom w:val="none" w:sz="0" w:space="0" w:color="auto"/>
        <w:right w:val="none" w:sz="0" w:space="0" w:color="auto"/>
      </w:divBdr>
      <w:divsChild>
        <w:div w:id="537545264">
          <w:marLeft w:val="490"/>
          <w:marRight w:val="0"/>
          <w:marTop w:val="54"/>
          <w:marBottom w:val="73"/>
          <w:divBdr>
            <w:top w:val="none" w:sz="0" w:space="0" w:color="auto"/>
            <w:left w:val="none" w:sz="0" w:space="0" w:color="auto"/>
            <w:bottom w:val="none" w:sz="0" w:space="0" w:color="auto"/>
            <w:right w:val="none" w:sz="0" w:space="0" w:color="auto"/>
          </w:divBdr>
        </w:div>
        <w:div w:id="488980338">
          <w:marLeft w:val="490"/>
          <w:marRight w:val="0"/>
          <w:marTop w:val="54"/>
          <w:marBottom w:val="73"/>
          <w:divBdr>
            <w:top w:val="none" w:sz="0" w:space="0" w:color="auto"/>
            <w:left w:val="none" w:sz="0" w:space="0" w:color="auto"/>
            <w:bottom w:val="none" w:sz="0" w:space="0" w:color="auto"/>
            <w:right w:val="none" w:sz="0" w:space="0" w:color="auto"/>
          </w:divBdr>
        </w:div>
        <w:div w:id="332757634">
          <w:marLeft w:val="490"/>
          <w:marRight w:val="0"/>
          <w:marTop w:val="54"/>
          <w:marBottom w:val="73"/>
          <w:divBdr>
            <w:top w:val="none" w:sz="0" w:space="0" w:color="auto"/>
            <w:left w:val="none" w:sz="0" w:space="0" w:color="auto"/>
            <w:bottom w:val="none" w:sz="0" w:space="0" w:color="auto"/>
            <w:right w:val="none" w:sz="0" w:space="0" w:color="auto"/>
          </w:divBdr>
        </w:div>
      </w:divsChild>
    </w:div>
    <w:div w:id="1947230669">
      <w:bodyDiv w:val="1"/>
      <w:marLeft w:val="0"/>
      <w:marRight w:val="0"/>
      <w:marTop w:val="0"/>
      <w:marBottom w:val="0"/>
      <w:divBdr>
        <w:top w:val="none" w:sz="0" w:space="0" w:color="auto"/>
        <w:left w:val="none" w:sz="0" w:space="0" w:color="auto"/>
        <w:bottom w:val="none" w:sz="0" w:space="0" w:color="auto"/>
        <w:right w:val="none" w:sz="0" w:space="0" w:color="auto"/>
      </w:divBdr>
      <w:divsChild>
        <w:div w:id="1452744442">
          <w:marLeft w:val="806"/>
          <w:marRight w:val="0"/>
          <w:marTop w:val="0"/>
          <w:marBottom w:val="0"/>
          <w:divBdr>
            <w:top w:val="none" w:sz="0" w:space="0" w:color="auto"/>
            <w:left w:val="none" w:sz="0" w:space="0" w:color="auto"/>
            <w:bottom w:val="none" w:sz="0" w:space="0" w:color="auto"/>
            <w:right w:val="none" w:sz="0" w:space="0" w:color="auto"/>
          </w:divBdr>
        </w:div>
      </w:divsChild>
    </w:div>
    <w:div w:id="2039310158">
      <w:bodyDiv w:val="1"/>
      <w:marLeft w:val="0"/>
      <w:marRight w:val="0"/>
      <w:marTop w:val="0"/>
      <w:marBottom w:val="0"/>
      <w:divBdr>
        <w:top w:val="none" w:sz="0" w:space="0" w:color="auto"/>
        <w:left w:val="none" w:sz="0" w:space="0" w:color="auto"/>
        <w:bottom w:val="none" w:sz="0" w:space="0" w:color="auto"/>
        <w:right w:val="none" w:sz="0" w:space="0" w:color="auto"/>
      </w:divBdr>
      <w:divsChild>
        <w:div w:id="131486997">
          <w:marLeft w:val="490"/>
          <w:marRight w:val="0"/>
          <w:marTop w:val="0"/>
          <w:marBottom w:val="435"/>
          <w:divBdr>
            <w:top w:val="none" w:sz="0" w:space="0" w:color="auto"/>
            <w:left w:val="none" w:sz="0" w:space="0" w:color="auto"/>
            <w:bottom w:val="none" w:sz="0" w:space="0" w:color="auto"/>
            <w:right w:val="none" w:sz="0" w:space="0" w:color="auto"/>
          </w:divBdr>
        </w:div>
        <w:div w:id="490758681">
          <w:marLeft w:val="490"/>
          <w:marRight w:val="0"/>
          <w:marTop w:val="0"/>
          <w:marBottom w:val="109"/>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in.org.uk/cancer_type_and_topic_specific_work/topic_specific_work/cancer_outcome_metrics" TargetMode="External"/><Relationship Id="rId13" Type="http://schemas.openxmlformats.org/officeDocument/2006/relationships/hyperlink" Target="https://www.gov.uk/government/publications/breast-screening-consolidated-programme-standards/nhs-breast-screening-programme-screening-standards-valid-for-data-collected-from-1-april-202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government/collections/public-health-outcomes-framewor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trokeaudit.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bowel-cancer-screening-programme-standards/bowel-cancer-screening-programme-standards-valid-for-data-collected-from-1-april-201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rdiacrehabilitation.org.uk/reports.htm" TargetMode="External"/><Relationship Id="rId23" Type="http://schemas.openxmlformats.org/officeDocument/2006/relationships/fontTable" Target="fontTable.xml"/><Relationship Id="rId10" Type="http://schemas.openxmlformats.org/officeDocument/2006/relationships/hyperlink" Target="https://www.gov.uk/government/collections/public-health-outcomes-framewor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data-and-information/publications/statistical/emergency-presentations-of-cancer-quarterly-data" TargetMode="External"/><Relationship Id="rId14" Type="http://schemas.openxmlformats.org/officeDocument/2006/relationships/hyperlink" Target="https://digital.nhs.uk/data-and-information/publications/statistical/ccg-outcomes-indicator-set/october-2022/domain-1-preventing-people-from-dying-prematurely-ccg/1-24-referrals-to-cardiac-rehabilitation-within-5-days-of-an-admission-for-coronary-heart-diseas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D1F59-A9B6-40A8-85F4-88DB86FD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472</TotalTime>
  <Pages>9</Pages>
  <Words>4744</Words>
  <Characters>27042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Rick Keen</cp:lastModifiedBy>
  <cp:revision>12</cp:revision>
  <cp:lastPrinted>2017-02-13T09:51:00Z</cp:lastPrinted>
  <dcterms:created xsi:type="dcterms:W3CDTF">2023-09-13T06:27:00Z</dcterms:created>
  <dcterms:modified xsi:type="dcterms:W3CDTF">2024-06-12T09:47:00Z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2023-04-25T13:44:30Z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3d4aa937-3f43-4cd0-b820-0be378d3d6b1</vt:lpwstr>
  </property>
  <property fmtid="{D5CDD505-2E9C-101B-9397-08002B2CF9AE}" pid="8" name="MSIP_Label_c69d85d5-6d9e-4305-a294-1f636ec0f2d6_ContentBits">
    <vt:lpwstr>0</vt:lpwstr>
  </property>
</Properties>
</file>