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D7A1" w14:textId="77777777" w:rsidR="004B4705" w:rsidRDefault="004B4705" w:rsidP="005614AA">
      <w:pPr>
        <w:pStyle w:val="Title20"/>
      </w:pPr>
      <w:bookmarkStart w:id="0" w:name="_Hlk90907618"/>
      <w:r>
        <w:t>National Institute for Health and Care Excellence</w:t>
      </w:r>
    </w:p>
    <w:p w14:paraId="3D29A876" w14:textId="77777777" w:rsidR="007951B4" w:rsidRPr="009F5020" w:rsidRDefault="007951B4" w:rsidP="007951B4">
      <w:pPr>
        <w:pStyle w:val="Title1"/>
      </w:pPr>
      <w:bookmarkStart w:id="1" w:name="_Hlk88555828"/>
      <w:r>
        <w:t>Technology Appraisals (TA) and Highly Specialised Technologies (HST) - Impact of charging regime</w:t>
      </w:r>
    </w:p>
    <w:p w14:paraId="3CF06977" w14:textId="1AA8B2A8" w:rsidR="004B4705" w:rsidRDefault="004B4705" w:rsidP="005614AA">
      <w:pPr>
        <w:pStyle w:val="NICEnormal"/>
      </w:pPr>
      <w:bookmarkStart w:id="2" w:name="_Hlk90907654"/>
      <w:bookmarkEnd w:id="1"/>
      <w:r w:rsidRPr="005F613C">
        <w:t xml:space="preserve">This report </w:t>
      </w:r>
      <w:r>
        <w:t xml:space="preserve">gives details of </w:t>
      </w:r>
      <w:r w:rsidR="007951B4">
        <w:t>a</w:t>
      </w:r>
      <w:r w:rsidR="007944AA">
        <w:t xml:space="preserve"> </w:t>
      </w:r>
      <w:r w:rsidR="007951B4" w:rsidRPr="007951B4">
        <w:t>review of the</w:t>
      </w:r>
      <w:r w:rsidR="000A6C9B">
        <w:t xml:space="preserve"> </w:t>
      </w:r>
      <w:r w:rsidR="007951B4" w:rsidRPr="007951B4">
        <w:t xml:space="preserve">impact </w:t>
      </w:r>
      <w:r w:rsidR="0065125F">
        <w:t>that</w:t>
      </w:r>
      <w:r w:rsidR="0065125F" w:rsidRPr="007951B4">
        <w:t xml:space="preserve"> </w:t>
      </w:r>
      <w:r w:rsidR="007944AA">
        <w:t>charges</w:t>
      </w:r>
      <w:r w:rsidR="00A21F2F">
        <w:t xml:space="preserve"> to recover the costs of</w:t>
      </w:r>
      <w:r w:rsidR="007951B4" w:rsidRPr="007951B4">
        <w:t xml:space="preserve"> technology appraisals (TA) and highly specialised technologies (HST)</w:t>
      </w:r>
      <w:r w:rsidR="007944AA">
        <w:t xml:space="preserve"> has had on our financial position since </w:t>
      </w:r>
      <w:r w:rsidR="000219FE">
        <w:t>charging began on 1 April 2019</w:t>
      </w:r>
      <w:r w:rsidR="007E00F2">
        <w:t>, and whether the objective to fully recover the costs of this activity has been achieved.</w:t>
      </w:r>
    </w:p>
    <w:p w14:paraId="6E0ABC2A" w14:textId="0D47CE74" w:rsidR="004B4705" w:rsidRPr="005614AA" w:rsidRDefault="004B4705" w:rsidP="005614AA">
      <w:pPr>
        <w:pStyle w:val="NICEnormal"/>
      </w:pPr>
      <w:r>
        <w:t xml:space="preserve">The Board is asked to </w:t>
      </w:r>
      <w:r w:rsidR="007951B4">
        <w:t xml:space="preserve">note the </w:t>
      </w:r>
      <w:r w:rsidR="00CD47AD">
        <w:t>findings of the report</w:t>
      </w:r>
      <w:r w:rsidR="007951B4">
        <w:t xml:space="preserve">. </w:t>
      </w:r>
    </w:p>
    <w:p w14:paraId="3C3BCC3C" w14:textId="77777777" w:rsidR="00725D6E" w:rsidRDefault="00725D6E" w:rsidP="005614AA">
      <w:pPr>
        <w:pStyle w:val="NICEnormal"/>
      </w:pPr>
    </w:p>
    <w:p w14:paraId="5DB09D7E" w14:textId="57ED0DEB" w:rsidR="000219FE" w:rsidRDefault="000219FE" w:rsidP="005614AA">
      <w:pPr>
        <w:pStyle w:val="NICEnormal"/>
      </w:pPr>
      <w:r>
        <w:t>Jennifer Howells</w:t>
      </w:r>
    </w:p>
    <w:p w14:paraId="71821553" w14:textId="77777777" w:rsidR="000219FE" w:rsidRDefault="000219FE" w:rsidP="005614AA">
      <w:pPr>
        <w:pStyle w:val="NICEnormal"/>
      </w:pPr>
      <w:r>
        <w:t>Director, Finance, Strategy and Transformation</w:t>
      </w:r>
    </w:p>
    <w:bookmarkEnd w:id="0"/>
    <w:bookmarkEnd w:id="2"/>
    <w:p w14:paraId="21C98380" w14:textId="77777777" w:rsidR="007E00F2" w:rsidRPr="007E00F2" w:rsidRDefault="007E00F2" w:rsidP="007E00F2">
      <w:pPr>
        <w:pStyle w:val="NICEnormal"/>
      </w:pPr>
      <w:r w:rsidRPr="007E00F2">
        <w:t>Meindert Boysen</w:t>
      </w:r>
    </w:p>
    <w:p w14:paraId="4AC683C4" w14:textId="77777777" w:rsidR="007E00F2" w:rsidRPr="007E00F2" w:rsidRDefault="007E00F2" w:rsidP="007E00F2">
      <w:pPr>
        <w:pStyle w:val="NICEnormal"/>
      </w:pPr>
      <w:r w:rsidRPr="007E00F2">
        <w:t>Director, Centre for Health Technology Evaluation</w:t>
      </w:r>
    </w:p>
    <w:p w14:paraId="016FB854" w14:textId="77777777" w:rsidR="00036BD4" w:rsidRPr="00B43E83" w:rsidRDefault="00036BD4" w:rsidP="00036BD4">
      <w:pPr>
        <w:pStyle w:val="NICEnormal"/>
      </w:pPr>
      <w:r>
        <w:t>January 2022</w:t>
      </w:r>
      <w:r w:rsidRPr="00B43E83">
        <w:t xml:space="preserve"> </w:t>
      </w:r>
    </w:p>
    <w:p w14:paraId="3998BA93" w14:textId="77777777" w:rsidR="004B4705" w:rsidRDefault="004B4705" w:rsidP="004511A7">
      <w:pPr>
        <w:pStyle w:val="NICEnormal"/>
      </w:pPr>
    </w:p>
    <w:p w14:paraId="333A72CB" w14:textId="77777777" w:rsidR="004B4705" w:rsidRPr="005F10EE" w:rsidRDefault="004B4705" w:rsidP="004511A7">
      <w:pPr>
        <w:pStyle w:val="NICEnormal"/>
      </w:pPr>
      <w:r w:rsidRPr="005F10EE">
        <w:br w:type="page"/>
      </w:r>
    </w:p>
    <w:p w14:paraId="6452A3F8" w14:textId="267E2AE8" w:rsidR="004B4705" w:rsidRPr="00C30FD9" w:rsidRDefault="004B4705" w:rsidP="004B4705">
      <w:pPr>
        <w:pStyle w:val="Heading1boardreport"/>
      </w:pPr>
      <w:r>
        <w:lastRenderedPageBreak/>
        <w:t xml:space="preserve">Introduction </w:t>
      </w:r>
    </w:p>
    <w:p w14:paraId="17320BD1" w14:textId="4EF66960" w:rsidR="00CD47AD" w:rsidRDefault="00CD47AD" w:rsidP="004B4705">
      <w:pPr>
        <w:pStyle w:val="NICEnormalnumbered"/>
      </w:pPr>
      <w:r w:rsidRPr="005140AF">
        <w:t>Any technology appraisal (TA) or highly specialised technolog</w:t>
      </w:r>
      <w:r>
        <w:t>ies</w:t>
      </w:r>
      <w:r w:rsidRPr="005140AF">
        <w:t xml:space="preserve"> (HST) topic with an invitation to participate (ITP) date on or after 1 April 2019 has been subject to a charge. In response to the </w:t>
      </w:r>
      <w:hyperlink r:id="rId8" w:history="1">
        <w:r w:rsidRPr="005140AF">
          <w:rPr>
            <w:rStyle w:val="Hyperlink"/>
          </w:rPr>
          <w:t>consultation</w:t>
        </w:r>
      </w:hyperlink>
      <w:r w:rsidRPr="005140AF">
        <w:t xml:space="preserve"> led by DHSC, a commitment (section 6.4) was made to monitor the impact of the charges in the first year and formally review the charging regime at the end of the second year and thereafter as required. Systems are in place to monitor the impact of charges, including the quarterly accountability meetings </w:t>
      </w:r>
      <w:r>
        <w:t>between NICE and the</w:t>
      </w:r>
      <w:r w:rsidRPr="005140AF">
        <w:t xml:space="preserve"> DHSC, our audit and risk committee meetings and the statutory information on fees and charges we include in our annual report and accounts. </w:t>
      </w:r>
    </w:p>
    <w:p w14:paraId="3AEE4D9B" w14:textId="50C417EF" w:rsidR="00CD47AD" w:rsidRDefault="00CD47AD" w:rsidP="00CD47AD">
      <w:pPr>
        <w:pStyle w:val="NICEnormalnumbered"/>
      </w:pPr>
      <w:r>
        <w:t>To discharge this obligation NICE</w:t>
      </w:r>
      <w:r w:rsidR="00147492">
        <w:t>,</w:t>
      </w:r>
      <w:r>
        <w:t xml:space="preserve"> </w:t>
      </w:r>
      <w:r w:rsidR="00A33B40">
        <w:t>with support from</w:t>
      </w:r>
      <w:r>
        <w:t xml:space="preserve"> </w:t>
      </w:r>
      <w:r w:rsidRPr="00EC23A3">
        <w:t>DHSC</w:t>
      </w:r>
      <w:r w:rsidR="00A33B40">
        <w:t>,</w:t>
      </w:r>
      <w:r w:rsidRPr="00EC23A3">
        <w:t xml:space="preserve"> ha</w:t>
      </w:r>
      <w:r w:rsidR="00A33B40">
        <w:t>s</w:t>
      </w:r>
      <w:r w:rsidRPr="00EC23A3">
        <w:t xml:space="preserve"> reviewed whether </w:t>
      </w:r>
      <w:r w:rsidR="00A21F2F">
        <w:t>charging has met the objectives to recover the costs of the programme and</w:t>
      </w:r>
      <w:r w:rsidR="000A6C9B">
        <w:t xml:space="preserve"> that the process (including offering a discount to small companies) is performing as planned.</w:t>
      </w:r>
      <w:r>
        <w:t xml:space="preserve"> The review has been conducted internally and no input has been requested from industry.</w:t>
      </w:r>
      <w:r w:rsidR="008E402B">
        <w:t xml:space="preserve"> </w:t>
      </w:r>
    </w:p>
    <w:p w14:paraId="0EE42860" w14:textId="06EFED06" w:rsidR="004B4705" w:rsidRDefault="004B4705" w:rsidP="00CD47AD">
      <w:pPr>
        <w:pStyle w:val="Heading1boardreport"/>
      </w:pPr>
      <w:r>
        <w:t xml:space="preserve">Background </w:t>
      </w:r>
    </w:p>
    <w:p w14:paraId="76A02069" w14:textId="18A1EFB6" w:rsidR="00CD47AD" w:rsidRPr="00CD47AD" w:rsidRDefault="00CD47AD" w:rsidP="00CD47AD">
      <w:pPr>
        <w:pStyle w:val="NICEnormalnumbered"/>
      </w:pPr>
      <w:r w:rsidRPr="00CD47AD">
        <w:t xml:space="preserve">The aim of </w:t>
      </w:r>
      <w:r w:rsidR="00EC2D22">
        <w:t xml:space="preserve">introducing </w:t>
      </w:r>
      <w:r w:rsidRPr="00CD47AD">
        <w:t xml:space="preserve">charging was to transfer the cost of making a technology appraisal or highly specialised technologies recommendation to the </w:t>
      </w:r>
      <w:r w:rsidR="008E402B">
        <w:t>marketing authorisation (MA) holder</w:t>
      </w:r>
      <w:r w:rsidRPr="00CD47AD">
        <w:t xml:space="preserve"> by:</w:t>
      </w:r>
    </w:p>
    <w:p w14:paraId="1CCF3408" w14:textId="77777777" w:rsidR="00CD47AD" w:rsidRPr="00CD47AD" w:rsidRDefault="00CD47AD" w:rsidP="005820AA">
      <w:pPr>
        <w:pStyle w:val="NICEnormalnumbered"/>
        <w:numPr>
          <w:ilvl w:val="1"/>
          <w:numId w:val="25"/>
        </w:numPr>
      </w:pPr>
      <w:r w:rsidRPr="005140AF">
        <w:t xml:space="preserve">Amending the Regulations to allow NICE to impose an upfront charge on an individual life science company calculated to recover the cost of making the recommendation for their product. </w:t>
      </w:r>
    </w:p>
    <w:p w14:paraId="540BDA1E" w14:textId="77777777" w:rsidR="00CD47AD" w:rsidRPr="00CD47AD" w:rsidRDefault="00CD47AD" w:rsidP="005820AA">
      <w:pPr>
        <w:pStyle w:val="NICEnormalnumbered"/>
        <w:numPr>
          <w:ilvl w:val="1"/>
          <w:numId w:val="25"/>
        </w:numPr>
      </w:pPr>
      <w:r w:rsidRPr="005140AF">
        <w:t xml:space="preserve">Allowing NICE to impose a charge on a small company calculated on an appropriate commercial basis (i.e., at a reduced rate) and to agree that a small company may pay in instalments. </w:t>
      </w:r>
    </w:p>
    <w:p w14:paraId="6341E573" w14:textId="2733216D" w:rsidR="00CD47AD" w:rsidRPr="005140AF" w:rsidRDefault="00CD47AD" w:rsidP="00CD47AD">
      <w:pPr>
        <w:pStyle w:val="NICEnormalnumbered"/>
      </w:pPr>
      <w:r w:rsidRPr="005140AF">
        <w:t xml:space="preserve">Through </w:t>
      </w:r>
      <w:r w:rsidR="00E65672">
        <w:t>cost recovery</w:t>
      </w:r>
      <w:r w:rsidR="000219FE" w:rsidRPr="005140AF">
        <w:t>,</w:t>
      </w:r>
      <w:r w:rsidRPr="005140AF">
        <w:t xml:space="preserve"> it was anticipated that charging would provide a more sustainable model that enables NICE to flex its capacity in response to the pipeline of technologies that require assessment by NICE.</w:t>
      </w:r>
    </w:p>
    <w:p w14:paraId="720C4BDC" w14:textId="77777777" w:rsidR="00CD47AD" w:rsidRPr="005140AF" w:rsidRDefault="00CD47AD" w:rsidP="00CD47AD">
      <w:pPr>
        <w:pStyle w:val="NICEnormalnumbered"/>
      </w:pPr>
      <w:r w:rsidRPr="005140AF">
        <w:lastRenderedPageBreak/>
        <w:t>Charging was implemented with the aim of reducing NICE's reliance on central Government funding (Grant-in-aid). NICE’s Government funded budget has also decreased. In 2013/14, NICE received £66.4m from Government funding; however, in 2018/19 this had reduced to £51.2m.</w:t>
      </w:r>
    </w:p>
    <w:p w14:paraId="222BF254" w14:textId="444C7C24" w:rsidR="00615CC8" w:rsidRDefault="00CD47AD" w:rsidP="00CD47AD">
      <w:pPr>
        <w:pStyle w:val="NICEnormalnumbered"/>
      </w:pPr>
      <w:r w:rsidRPr="005140AF">
        <w:t xml:space="preserve">The aim </w:t>
      </w:r>
      <w:r w:rsidR="006E7B46">
        <w:t xml:space="preserve">of </w:t>
      </w:r>
      <w:r w:rsidRPr="005140AF">
        <w:t>transfer</w:t>
      </w:r>
      <w:r w:rsidR="006E7B46">
        <w:t xml:space="preserve">ring </w:t>
      </w:r>
      <w:r w:rsidRPr="005140AF">
        <w:t xml:space="preserve">the costs of making a recommendation to the </w:t>
      </w:r>
      <w:r w:rsidR="006549B5">
        <w:t xml:space="preserve">marketing authorisation holder </w:t>
      </w:r>
      <w:r w:rsidRPr="005140AF">
        <w:t>has partially been met</w:t>
      </w:r>
      <w:r w:rsidR="0011639D">
        <w:t xml:space="preserve">, </w:t>
      </w:r>
      <w:r w:rsidR="00615CC8">
        <w:t>with fees charged on all evaluations that have started since April 201</w:t>
      </w:r>
      <w:r w:rsidR="0035771B">
        <w:t>9. T</w:t>
      </w:r>
      <w:r w:rsidR="00615CC8">
        <w:t xml:space="preserve">he amount of income recognised in our financial statements </w:t>
      </w:r>
      <w:r w:rsidR="0035771B">
        <w:t xml:space="preserve">is </w:t>
      </w:r>
      <w:r w:rsidR="00615CC8">
        <w:t xml:space="preserve">helping offset reductions in our </w:t>
      </w:r>
      <w:r w:rsidR="00474107">
        <w:t>Grant-in-aid funding.</w:t>
      </w:r>
    </w:p>
    <w:p w14:paraId="15786393" w14:textId="52C75A52" w:rsidR="00E65672" w:rsidRDefault="00474107" w:rsidP="00CD47AD">
      <w:pPr>
        <w:pStyle w:val="NICEnormalnumbered"/>
      </w:pPr>
      <w:r>
        <w:t>However, a</w:t>
      </w:r>
      <w:r w:rsidR="00615CC8">
        <w:t xml:space="preserve"> key objective when fees were introduced is that</w:t>
      </w:r>
      <w:r w:rsidR="00615CC8" w:rsidRPr="00B80259">
        <w:t xml:space="preserve"> we would expect to be recovering the costs in full</w:t>
      </w:r>
      <w:r w:rsidR="008B4DC2">
        <w:t xml:space="preserve"> after the second year of charging for evaluations, but</w:t>
      </w:r>
      <w:r w:rsidR="00615CC8" w:rsidRPr="00B80259">
        <w:t xml:space="preserve"> in the current financial year (2021</w:t>
      </w:r>
      <w:r w:rsidR="00725D6E">
        <w:t>/</w:t>
      </w:r>
      <w:r w:rsidR="00615CC8" w:rsidRPr="00B80259">
        <w:t xml:space="preserve">22) </w:t>
      </w:r>
      <w:r w:rsidR="008B4DC2">
        <w:t xml:space="preserve">this will not be </w:t>
      </w:r>
      <w:r w:rsidR="0077599F">
        <w:t>achieved</w:t>
      </w:r>
      <w:r>
        <w:t>. We forecast that we will recognise £8.5m income this year versus £11.4m costs, a deficit of £2.9m. F</w:t>
      </w:r>
      <w:r w:rsidR="00E65672">
        <w:t>ull cost recovery of the programme is yet to be achieved for several reasons that</w:t>
      </w:r>
      <w:r w:rsidR="00466A93">
        <w:t xml:space="preserve"> are listed below and</w:t>
      </w:r>
      <w:r w:rsidR="00E65672">
        <w:t xml:space="preserve"> will be </w:t>
      </w:r>
      <w:r w:rsidR="00846330">
        <w:t>described in</w:t>
      </w:r>
      <w:r w:rsidR="00E65672">
        <w:t xml:space="preserve"> this paper</w:t>
      </w:r>
      <w:r w:rsidR="000C1C42">
        <w:t>:</w:t>
      </w:r>
      <w:r w:rsidR="00CD47AD" w:rsidRPr="005140AF">
        <w:t xml:space="preserve"> </w:t>
      </w:r>
    </w:p>
    <w:p w14:paraId="15342417" w14:textId="5FE62099" w:rsidR="006E4745" w:rsidRDefault="006E4745" w:rsidP="00466A93">
      <w:pPr>
        <w:pStyle w:val="Bulletindent2last"/>
      </w:pPr>
      <w:r w:rsidRPr="00466A93">
        <w:t xml:space="preserve">Prices have not been uplifted since April 2019 to </w:t>
      </w:r>
      <w:proofErr w:type="gramStart"/>
      <w:r w:rsidRPr="00466A93">
        <w:t>take into account</w:t>
      </w:r>
      <w:proofErr w:type="gramEnd"/>
      <w:r w:rsidRPr="00466A93">
        <w:t xml:space="preserve"> pay </w:t>
      </w:r>
      <w:r w:rsidR="00466A93" w:rsidRPr="00466A93">
        <w:t xml:space="preserve">and pension </w:t>
      </w:r>
      <w:r w:rsidRPr="00466A93">
        <w:t>inflation</w:t>
      </w:r>
      <w:r w:rsidR="000C1C42">
        <w:t>.</w:t>
      </w:r>
    </w:p>
    <w:p w14:paraId="0C594D3E" w14:textId="50DEED83" w:rsidR="006E4745" w:rsidRPr="006E4745" w:rsidRDefault="006E4745" w:rsidP="006E4745">
      <w:pPr>
        <w:pStyle w:val="Bulletindent2last"/>
      </w:pPr>
      <w:r>
        <w:t>COVID-19 had a significant impact on cost recovery in 2020</w:t>
      </w:r>
      <w:r w:rsidR="00725D6E">
        <w:t>/</w:t>
      </w:r>
      <w:r>
        <w:t>21</w:t>
      </w:r>
      <w:r w:rsidR="00036BD4">
        <w:t xml:space="preserve"> and 2021</w:t>
      </w:r>
      <w:r w:rsidR="00725D6E">
        <w:t>/</w:t>
      </w:r>
      <w:r w:rsidR="00036BD4">
        <w:t>22</w:t>
      </w:r>
      <w:r w:rsidR="000C1C42">
        <w:t>, with topics being paused and affecting throughput.</w:t>
      </w:r>
    </w:p>
    <w:p w14:paraId="2B8CC6DE" w14:textId="59A20C1C" w:rsidR="00474107" w:rsidRDefault="006E4745" w:rsidP="00474107">
      <w:pPr>
        <w:pStyle w:val="Bulletindent2last"/>
      </w:pPr>
      <w:r>
        <w:t>Vacancies (</w:t>
      </w:r>
      <w:r w:rsidR="002F621F">
        <w:t>7</w:t>
      </w:r>
      <w:r>
        <w:t>% on average) and staff turnover</w:t>
      </w:r>
      <w:r w:rsidR="002F621F">
        <w:t xml:space="preserve"> in the TA/HST team</w:t>
      </w:r>
      <w:r>
        <w:t xml:space="preserve"> ha</w:t>
      </w:r>
      <w:r w:rsidR="00725D6E">
        <w:t>ve</w:t>
      </w:r>
      <w:r>
        <w:t xml:space="preserve"> had an impact on productivity, </w:t>
      </w:r>
      <w:r w:rsidR="0065125F">
        <w:t xml:space="preserve">although </w:t>
      </w:r>
      <w:r>
        <w:t>some of the lost income has been offset by reduced staff costs</w:t>
      </w:r>
    </w:p>
    <w:p w14:paraId="340B967E" w14:textId="6D936698" w:rsidR="00A74CA7" w:rsidRPr="00474107" w:rsidRDefault="00A74CA7" w:rsidP="00A74CA7">
      <w:pPr>
        <w:pStyle w:val="Bulletindent2last"/>
      </w:pPr>
      <w:r>
        <w:t>The 75% discount for small companies is a cost pressure of approximately £0.5m per annum</w:t>
      </w:r>
      <w:r w:rsidR="000C1C42">
        <w:t>.</w:t>
      </w:r>
    </w:p>
    <w:p w14:paraId="47BD57CB" w14:textId="315C3D54" w:rsidR="006E4745" w:rsidRDefault="006E4745" w:rsidP="006E4745">
      <w:pPr>
        <w:pStyle w:val="Bulletindent2last"/>
      </w:pPr>
      <w:r>
        <w:t xml:space="preserve">The work programme </w:t>
      </w:r>
      <w:r w:rsidR="000C1C42">
        <w:t>performs</w:t>
      </w:r>
      <w:r>
        <w:t xml:space="preserve"> additional activity not charged for (for example extra committee meetings</w:t>
      </w:r>
      <w:r w:rsidRPr="006E4745">
        <w:t xml:space="preserve">). </w:t>
      </w:r>
    </w:p>
    <w:p w14:paraId="090E0EE8" w14:textId="77777777" w:rsidR="008B4DC2" w:rsidRPr="008B4DC2" w:rsidRDefault="008B4DC2" w:rsidP="008B4DC2">
      <w:pPr>
        <w:pStyle w:val="NICEnormal"/>
      </w:pPr>
    </w:p>
    <w:p w14:paraId="0F244C2C" w14:textId="6352D597" w:rsidR="00C37BE0" w:rsidRPr="00C37BE0" w:rsidRDefault="00C37BE0" w:rsidP="00C37BE0">
      <w:pPr>
        <w:pStyle w:val="NICEnormalnumbered"/>
      </w:pPr>
      <w:r w:rsidRPr="00C37BE0">
        <w:t xml:space="preserve">The </w:t>
      </w:r>
      <w:r w:rsidR="00D670E8">
        <w:t>charging process</w:t>
      </w:r>
      <w:r w:rsidRPr="00C37BE0">
        <w:t xml:space="preserve"> was subject to internal audit in April 2021</w:t>
      </w:r>
      <w:r w:rsidR="00D670E8">
        <w:t xml:space="preserve">, the objective of which was to provide assurance over the effectiveness of the framework of controls in place to ensure the charges are levied, received and accounted for </w:t>
      </w:r>
      <w:r w:rsidR="00D670E8">
        <w:lastRenderedPageBreak/>
        <w:t xml:space="preserve">accurately. The internal audit review </w:t>
      </w:r>
      <w:r w:rsidR="00C64F67">
        <w:t>gave</w:t>
      </w:r>
      <w:r w:rsidR="00D670E8">
        <w:t xml:space="preserve"> a </w:t>
      </w:r>
      <w:r w:rsidRPr="00C37BE0">
        <w:t>substantial assurance rating</w:t>
      </w:r>
      <w:r w:rsidR="00C64F67">
        <w:t xml:space="preserve"> that t</w:t>
      </w:r>
      <w:r w:rsidRPr="00C37BE0">
        <w:t xml:space="preserve">he </w:t>
      </w:r>
      <w:r w:rsidR="00C64F67">
        <w:t>framework of governance, risk management and control is adequate and effective</w:t>
      </w:r>
      <w:r w:rsidRPr="00C37BE0">
        <w:t xml:space="preserve">.  </w:t>
      </w:r>
    </w:p>
    <w:p w14:paraId="3D64A52B" w14:textId="6BEAE9FC" w:rsidR="00CD47AD" w:rsidRPr="00CD47AD" w:rsidRDefault="00CD47AD" w:rsidP="00CD47AD">
      <w:pPr>
        <w:pStyle w:val="Heading2boardreport"/>
      </w:pPr>
      <w:r>
        <w:t xml:space="preserve">Cost recovery, funding and income recognition  </w:t>
      </w:r>
    </w:p>
    <w:p w14:paraId="31EEB12E" w14:textId="78087AA1" w:rsidR="004B4705" w:rsidRDefault="00CD47AD" w:rsidP="00CD47AD">
      <w:pPr>
        <w:pStyle w:val="NICEnormalnumbered"/>
      </w:pPr>
      <w:r w:rsidRPr="00CD47AD">
        <w:t>There is a statutory requirement to show income and full cost of the activity in the fees and charges section of the Parliamentary Accountability and Audit report section of the annual report, including a summary of the performance. The figures for 2019</w:t>
      </w:r>
      <w:r w:rsidR="00725D6E">
        <w:t>/</w:t>
      </w:r>
      <w:r w:rsidRPr="00CD47AD">
        <w:t>20 and 2020</w:t>
      </w:r>
      <w:r w:rsidR="00725D6E">
        <w:t>/</w:t>
      </w:r>
      <w:r w:rsidRPr="00CD47AD">
        <w:t>21 are set out below alongside an estimate for 2021</w:t>
      </w:r>
      <w:r w:rsidR="00725D6E">
        <w:t>/</w:t>
      </w:r>
      <w:r w:rsidRPr="00CD47AD">
        <w:t>22.</w:t>
      </w:r>
      <w:r w:rsidR="00F62A31">
        <w:t xml:space="preserve"> </w:t>
      </w:r>
      <w:r w:rsidR="00F62A31" w:rsidRPr="00CD47AD">
        <w:t>Any under recovery of costs is funded using Grant-in-aid allocation.</w:t>
      </w:r>
    </w:p>
    <w:p w14:paraId="352B2625" w14:textId="727003EB" w:rsidR="00CD47AD" w:rsidRPr="00CD47AD" w:rsidRDefault="008150F0" w:rsidP="00CD47AD">
      <w:pPr>
        <w:pStyle w:val="Caption"/>
      </w:pPr>
      <w:r>
        <w:t>Chart</w:t>
      </w:r>
      <w:r w:rsidRPr="00CD47AD">
        <w:t xml:space="preserve"> </w:t>
      </w:r>
      <w:r w:rsidR="00CD47AD" w:rsidRPr="00CD47AD">
        <w:t>1 - annual full cost recovery monitoring</w:t>
      </w:r>
    </w:p>
    <w:p w14:paraId="536334C7" w14:textId="77777777" w:rsidR="00CD47AD" w:rsidRPr="00CD47AD" w:rsidRDefault="00CD47AD" w:rsidP="00CD47AD">
      <w:r w:rsidRPr="00CD47AD">
        <w:rPr>
          <w:noProof/>
        </w:rPr>
        <w:drawing>
          <wp:inline distT="0" distB="0" distL="0" distR="0" wp14:anchorId="2DA719B8" wp14:editId="5D0FC2CA">
            <wp:extent cx="4749800" cy="2590800"/>
            <wp:effectExtent l="0" t="0" r="12700" b="0"/>
            <wp:docPr id="16" name="Chart 16" descr="Annual full cost recovery performance of the TA/HST programme, 2019-20 to 2021-22.">
              <a:extLst xmlns:a="http://schemas.openxmlformats.org/drawingml/2006/main">
                <a:ext uri="{FF2B5EF4-FFF2-40B4-BE49-F238E27FC236}">
                  <a16:creationId xmlns:a16="http://schemas.microsoft.com/office/drawing/2014/main" id="{343024FB-FE5F-430B-9854-598ECB25C7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ECA03E" w14:textId="77777777" w:rsidR="00CD47AD" w:rsidRPr="00CD47AD" w:rsidRDefault="00CD47AD" w:rsidP="00CD47AD"/>
    <w:p w14:paraId="4A4D0000" w14:textId="4E5350E5" w:rsidR="006A3ADC" w:rsidRDefault="00CD47AD" w:rsidP="006A3ADC">
      <w:pPr>
        <w:pStyle w:val="Caption"/>
      </w:pPr>
      <w:r w:rsidRPr="00CD47AD">
        <w:t xml:space="preserve">Table </w:t>
      </w:r>
      <w:r w:rsidR="008150F0">
        <w:t>1</w:t>
      </w:r>
      <w:r w:rsidRPr="00CD47AD">
        <w:t xml:space="preserve"> - charging income recognition, full costs and deficit</w:t>
      </w:r>
    </w:p>
    <w:tbl>
      <w:tblPr>
        <w:tblStyle w:val="PlainTable1"/>
        <w:tblW w:w="6742" w:type="dxa"/>
        <w:tblLayout w:type="fixed"/>
        <w:tblLook w:val="04A0" w:firstRow="1" w:lastRow="0" w:firstColumn="1" w:lastColumn="0" w:noHBand="0" w:noVBand="1"/>
      </w:tblPr>
      <w:tblGrid>
        <w:gridCol w:w="1980"/>
        <w:gridCol w:w="1391"/>
        <w:gridCol w:w="1685"/>
        <w:gridCol w:w="1686"/>
      </w:tblGrid>
      <w:tr w:rsidR="003130CD" w:rsidRPr="003130CD" w14:paraId="05B873D4" w14:textId="77777777" w:rsidTr="007E173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980" w:type="dxa"/>
            <w:hideMark/>
          </w:tcPr>
          <w:p w14:paraId="76B290CA" w14:textId="484EB184" w:rsidR="003130CD" w:rsidRPr="003130CD" w:rsidRDefault="003130CD" w:rsidP="008174FC">
            <w:pPr>
              <w:pStyle w:val="Tableheadingboardreport"/>
              <w:rPr>
                <w:b/>
                <w:bCs w:val="0"/>
                <w:lang w:eastAsia="en-GB"/>
              </w:rPr>
            </w:pPr>
            <w:r w:rsidRPr="003130CD">
              <w:rPr>
                <w:b/>
                <w:lang w:eastAsia="en-GB"/>
              </w:rPr>
              <w:t>Year</w:t>
            </w:r>
          </w:p>
        </w:tc>
        <w:tc>
          <w:tcPr>
            <w:tcW w:w="1391" w:type="dxa"/>
            <w:hideMark/>
          </w:tcPr>
          <w:p w14:paraId="3B69827B" w14:textId="77777777" w:rsidR="003130CD" w:rsidRPr="003130CD" w:rsidRDefault="003130CD"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3130CD">
              <w:rPr>
                <w:b/>
                <w:lang w:eastAsia="en-GB"/>
              </w:rPr>
              <w:t>Income £000</w:t>
            </w:r>
          </w:p>
        </w:tc>
        <w:tc>
          <w:tcPr>
            <w:tcW w:w="1685" w:type="dxa"/>
            <w:hideMark/>
          </w:tcPr>
          <w:p w14:paraId="59BF6E24" w14:textId="77777777" w:rsidR="003130CD" w:rsidRPr="003130CD" w:rsidRDefault="003130CD"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3130CD">
              <w:rPr>
                <w:b/>
                <w:lang w:eastAsia="en-GB"/>
              </w:rPr>
              <w:t>Full cost £000</w:t>
            </w:r>
          </w:p>
        </w:tc>
        <w:tc>
          <w:tcPr>
            <w:tcW w:w="1686" w:type="dxa"/>
            <w:hideMark/>
          </w:tcPr>
          <w:p w14:paraId="261C7527" w14:textId="77777777" w:rsidR="002630F8" w:rsidRDefault="003130CD"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3130CD">
              <w:rPr>
                <w:b/>
                <w:lang w:eastAsia="en-GB"/>
              </w:rPr>
              <w:t>Deficit/</w:t>
            </w:r>
            <w:r w:rsidR="002630F8">
              <w:t xml:space="preserve"> </w:t>
            </w:r>
            <w:r w:rsidRPr="003130CD">
              <w:rPr>
                <w:b/>
                <w:lang w:eastAsia="en-GB"/>
              </w:rPr>
              <w:t xml:space="preserve">(surplus) </w:t>
            </w:r>
          </w:p>
          <w:p w14:paraId="1FF14388" w14:textId="7661EF0B" w:rsidR="003130CD" w:rsidRPr="003130CD" w:rsidRDefault="003130CD"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3130CD">
              <w:rPr>
                <w:b/>
                <w:lang w:eastAsia="en-GB"/>
              </w:rPr>
              <w:t>£000</w:t>
            </w:r>
          </w:p>
        </w:tc>
      </w:tr>
      <w:tr w:rsidR="003130CD" w:rsidRPr="003130CD" w14:paraId="48458150" w14:textId="77777777" w:rsidTr="007E173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0404111" w14:textId="7FCD7140" w:rsidR="003130CD" w:rsidRPr="003130CD" w:rsidRDefault="003130CD" w:rsidP="003130CD">
            <w:pPr>
              <w:rPr>
                <w:rFonts w:ascii="Arial" w:hAnsi="Arial" w:cs="Arial"/>
                <w:color w:val="000000"/>
                <w:sz w:val="20"/>
                <w:szCs w:val="20"/>
                <w:lang w:eastAsia="en-GB"/>
              </w:rPr>
            </w:pPr>
            <w:r w:rsidRPr="003130CD">
              <w:rPr>
                <w:rFonts w:ascii="Arial" w:hAnsi="Arial" w:cs="Arial"/>
                <w:color w:val="000000"/>
                <w:sz w:val="20"/>
                <w:szCs w:val="20"/>
                <w:lang w:eastAsia="en-GB"/>
              </w:rPr>
              <w:t>2019</w:t>
            </w:r>
            <w:r w:rsidR="00725D6E">
              <w:t>/</w:t>
            </w:r>
            <w:r w:rsidRPr="003130CD">
              <w:rPr>
                <w:rFonts w:ascii="Arial" w:hAnsi="Arial" w:cs="Arial"/>
                <w:color w:val="000000"/>
                <w:sz w:val="20"/>
                <w:szCs w:val="20"/>
                <w:lang w:eastAsia="en-GB"/>
              </w:rPr>
              <w:t>20</w:t>
            </w:r>
          </w:p>
        </w:tc>
        <w:tc>
          <w:tcPr>
            <w:tcW w:w="1391" w:type="dxa"/>
            <w:hideMark/>
          </w:tcPr>
          <w:p w14:paraId="0C0CF3BC" w14:textId="77777777" w:rsidR="003130CD" w:rsidRPr="003130CD" w:rsidRDefault="003130CD" w:rsidP="003130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3,582</w:t>
            </w:r>
          </w:p>
        </w:tc>
        <w:tc>
          <w:tcPr>
            <w:tcW w:w="1685" w:type="dxa"/>
            <w:hideMark/>
          </w:tcPr>
          <w:p w14:paraId="67EF1C81" w14:textId="77777777" w:rsidR="003130CD" w:rsidRPr="003130CD" w:rsidRDefault="003130CD" w:rsidP="003130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9,458</w:t>
            </w:r>
          </w:p>
        </w:tc>
        <w:tc>
          <w:tcPr>
            <w:tcW w:w="1686" w:type="dxa"/>
            <w:hideMark/>
          </w:tcPr>
          <w:p w14:paraId="5B257D51" w14:textId="77777777" w:rsidR="003130CD" w:rsidRPr="003130CD" w:rsidRDefault="003130CD" w:rsidP="003130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5,876</w:t>
            </w:r>
          </w:p>
        </w:tc>
      </w:tr>
      <w:tr w:rsidR="003130CD" w:rsidRPr="003130CD" w14:paraId="1B24CB0E" w14:textId="77777777" w:rsidTr="007E173D">
        <w:trPr>
          <w:trHeight w:val="254"/>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D7EC1B1" w14:textId="2004CD10" w:rsidR="003130CD" w:rsidRPr="003130CD" w:rsidRDefault="003130CD" w:rsidP="003130CD">
            <w:pPr>
              <w:rPr>
                <w:rFonts w:ascii="Arial" w:hAnsi="Arial" w:cs="Arial"/>
                <w:color w:val="000000"/>
                <w:sz w:val="20"/>
                <w:szCs w:val="20"/>
                <w:lang w:eastAsia="en-GB"/>
              </w:rPr>
            </w:pPr>
            <w:r w:rsidRPr="003130CD">
              <w:rPr>
                <w:rFonts w:ascii="Arial" w:hAnsi="Arial" w:cs="Arial"/>
                <w:color w:val="000000"/>
                <w:sz w:val="20"/>
                <w:szCs w:val="20"/>
                <w:lang w:eastAsia="en-GB"/>
              </w:rPr>
              <w:t>2020</w:t>
            </w:r>
            <w:r w:rsidR="00725D6E">
              <w:t>/</w:t>
            </w:r>
            <w:r w:rsidRPr="003130CD">
              <w:rPr>
                <w:rFonts w:ascii="Arial" w:hAnsi="Arial" w:cs="Arial"/>
                <w:color w:val="000000"/>
                <w:sz w:val="20"/>
                <w:szCs w:val="20"/>
                <w:lang w:eastAsia="en-GB"/>
              </w:rPr>
              <w:t>21</w:t>
            </w:r>
          </w:p>
        </w:tc>
        <w:tc>
          <w:tcPr>
            <w:tcW w:w="1391" w:type="dxa"/>
            <w:hideMark/>
          </w:tcPr>
          <w:p w14:paraId="72D95ECB" w14:textId="77777777" w:rsidR="003130CD" w:rsidRPr="003130CD" w:rsidRDefault="003130CD" w:rsidP="00313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7,035</w:t>
            </w:r>
          </w:p>
        </w:tc>
        <w:tc>
          <w:tcPr>
            <w:tcW w:w="1685" w:type="dxa"/>
            <w:hideMark/>
          </w:tcPr>
          <w:p w14:paraId="18167421" w14:textId="77777777" w:rsidR="003130CD" w:rsidRPr="003130CD" w:rsidRDefault="003130CD" w:rsidP="00313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10,711</w:t>
            </w:r>
          </w:p>
        </w:tc>
        <w:tc>
          <w:tcPr>
            <w:tcW w:w="1686" w:type="dxa"/>
            <w:hideMark/>
          </w:tcPr>
          <w:p w14:paraId="3071DC7F" w14:textId="77777777" w:rsidR="003130CD" w:rsidRPr="003130CD" w:rsidRDefault="003130CD" w:rsidP="003130C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3,676</w:t>
            </w:r>
          </w:p>
        </w:tc>
      </w:tr>
      <w:tr w:rsidR="003130CD" w:rsidRPr="003130CD" w14:paraId="5496DFE1" w14:textId="77777777" w:rsidTr="007E173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D8EA689" w14:textId="5216F3A5" w:rsidR="003130CD" w:rsidRPr="003130CD" w:rsidRDefault="003130CD" w:rsidP="003130CD">
            <w:pPr>
              <w:rPr>
                <w:rFonts w:ascii="Arial" w:hAnsi="Arial" w:cs="Arial"/>
                <w:color w:val="000000"/>
                <w:sz w:val="20"/>
                <w:szCs w:val="20"/>
                <w:lang w:eastAsia="en-GB"/>
              </w:rPr>
            </w:pPr>
            <w:r w:rsidRPr="003130CD">
              <w:rPr>
                <w:rFonts w:ascii="Arial" w:hAnsi="Arial" w:cs="Arial"/>
                <w:color w:val="000000"/>
                <w:sz w:val="20"/>
                <w:szCs w:val="20"/>
                <w:lang w:eastAsia="en-GB"/>
              </w:rPr>
              <w:t>2021</w:t>
            </w:r>
            <w:r w:rsidR="00725D6E">
              <w:t>/</w:t>
            </w:r>
            <w:r w:rsidRPr="003130CD">
              <w:rPr>
                <w:rFonts w:ascii="Arial" w:hAnsi="Arial" w:cs="Arial"/>
                <w:color w:val="000000"/>
                <w:sz w:val="20"/>
                <w:szCs w:val="20"/>
                <w:lang w:eastAsia="en-GB"/>
              </w:rPr>
              <w:t>22 (Forecast)</w:t>
            </w:r>
          </w:p>
        </w:tc>
        <w:tc>
          <w:tcPr>
            <w:tcW w:w="1391" w:type="dxa"/>
            <w:hideMark/>
          </w:tcPr>
          <w:p w14:paraId="1497B66E" w14:textId="77777777" w:rsidR="003130CD" w:rsidRPr="003130CD" w:rsidRDefault="003130CD" w:rsidP="003130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8,500</w:t>
            </w:r>
          </w:p>
        </w:tc>
        <w:tc>
          <w:tcPr>
            <w:tcW w:w="1685" w:type="dxa"/>
            <w:hideMark/>
          </w:tcPr>
          <w:p w14:paraId="1B3E59BA" w14:textId="77777777" w:rsidR="003130CD" w:rsidRPr="003130CD" w:rsidRDefault="003130CD" w:rsidP="003130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11,437</w:t>
            </w:r>
          </w:p>
        </w:tc>
        <w:tc>
          <w:tcPr>
            <w:tcW w:w="1686" w:type="dxa"/>
            <w:hideMark/>
          </w:tcPr>
          <w:p w14:paraId="4204FE26" w14:textId="77777777" w:rsidR="003130CD" w:rsidRPr="003130CD" w:rsidRDefault="003130CD" w:rsidP="003130C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3130CD">
              <w:rPr>
                <w:rFonts w:ascii="Arial" w:hAnsi="Arial" w:cs="Arial"/>
                <w:color w:val="000000"/>
                <w:sz w:val="20"/>
                <w:szCs w:val="20"/>
                <w:lang w:eastAsia="en-GB"/>
              </w:rPr>
              <w:t>2,937</w:t>
            </w:r>
          </w:p>
        </w:tc>
      </w:tr>
    </w:tbl>
    <w:p w14:paraId="0F8B18F0" w14:textId="77777777" w:rsidR="00CD47AD" w:rsidRDefault="00CD47AD" w:rsidP="003130CD">
      <w:pPr>
        <w:pStyle w:val="NICEnormalnumbered"/>
        <w:numPr>
          <w:ilvl w:val="0"/>
          <w:numId w:val="0"/>
        </w:numPr>
      </w:pPr>
    </w:p>
    <w:p w14:paraId="020F6A00" w14:textId="077F3518" w:rsidR="00F62A31" w:rsidRDefault="00F62A31" w:rsidP="00F62A31">
      <w:pPr>
        <w:pStyle w:val="NICEnormalnumbered"/>
      </w:pPr>
      <w:r w:rsidRPr="00F62A31">
        <w:t>A key objective when fees were introduced is that we would expect to be recovering the costs in full</w:t>
      </w:r>
      <w:r>
        <w:t>,</w:t>
      </w:r>
      <w:r w:rsidRPr="00F62A31">
        <w:t xml:space="preserve"> but we are not (as shown in Table 1). This was </w:t>
      </w:r>
      <w:r w:rsidRPr="00F62A31">
        <w:lastRenderedPageBreak/>
        <w:t>expected in year 1 and 2 whilst older topics (</w:t>
      </w:r>
      <w:r w:rsidR="000C1C42">
        <w:t xml:space="preserve">those that </w:t>
      </w:r>
      <w:r w:rsidRPr="00F62A31">
        <w:t xml:space="preserve">started before 1 April 2019) were being completed. At the time of reporting, 5 evaluations which commenced pre-implementation of cost recovery, remain in the work programme and therefore income will not be recognised for these topics. </w:t>
      </w:r>
    </w:p>
    <w:p w14:paraId="5E84B2FC" w14:textId="3FE0A761" w:rsidR="00CD47AD" w:rsidRDefault="00F62A31" w:rsidP="000D09DC">
      <w:pPr>
        <w:pStyle w:val="NICEnormalnumbered"/>
      </w:pPr>
      <w:r>
        <w:t>However, in the current financial year (2021</w:t>
      </w:r>
      <w:r w:rsidR="00725D6E">
        <w:t>/</w:t>
      </w:r>
      <w:r>
        <w:t xml:space="preserve">22) it was expected that we would be achieving </w:t>
      </w:r>
      <w:r w:rsidR="000D09DC">
        <w:t>full-cost recovery, except for the discount for small companies which is expected to be £0.5m per year. The reason for the deficit is</w:t>
      </w:r>
      <w:r w:rsidR="00CD47AD" w:rsidRPr="00CD47AD">
        <w:t xml:space="preserve"> due to</w:t>
      </w:r>
      <w:r w:rsidR="000D09DC">
        <w:t xml:space="preserve"> several factors including increasing pay and pension costs since fees were introduced, and </w:t>
      </w:r>
      <w:r w:rsidR="00CD47AD" w:rsidRPr="00CD47AD">
        <w:t xml:space="preserve">the disruptions the COVID-19 pandemic has caused to the work programme, </w:t>
      </w:r>
      <w:r w:rsidR="00E31E4D">
        <w:t xml:space="preserve">alongside </w:t>
      </w:r>
      <w:r w:rsidR="00CD47AD" w:rsidRPr="00CD47AD">
        <w:t>vacancies in the work programme.</w:t>
      </w:r>
      <w:r w:rsidR="005820AA">
        <w:t xml:space="preserve"> This includes:</w:t>
      </w:r>
    </w:p>
    <w:p w14:paraId="5D2E6821" w14:textId="189A12A5" w:rsidR="005820AA" w:rsidRPr="005820AA" w:rsidRDefault="005820AA" w:rsidP="005820AA">
      <w:pPr>
        <w:pStyle w:val="NICEnormalnumbered"/>
        <w:numPr>
          <w:ilvl w:val="1"/>
          <w:numId w:val="25"/>
        </w:numPr>
      </w:pPr>
      <w:r w:rsidRPr="00CD47AD">
        <w:t>Appro</w:t>
      </w:r>
      <w:r w:rsidRPr="005820AA">
        <w:t>ximately 30 evaluations were paused due to the COVID-19 pandemic</w:t>
      </w:r>
      <w:r w:rsidR="000D09DC">
        <w:t>.</w:t>
      </w:r>
    </w:p>
    <w:p w14:paraId="52269338" w14:textId="5B2C3E8F" w:rsidR="005820AA" w:rsidRPr="00CD47AD" w:rsidRDefault="00FE1819" w:rsidP="005820AA">
      <w:pPr>
        <w:pStyle w:val="NICEnormalnumbered"/>
        <w:numPr>
          <w:ilvl w:val="1"/>
          <w:numId w:val="25"/>
        </w:numPr>
      </w:pPr>
      <w:r>
        <w:t>During the review period, a</w:t>
      </w:r>
      <w:r w:rsidR="005820AA">
        <w:t>pproximately</w:t>
      </w:r>
      <w:r w:rsidR="005820AA" w:rsidRPr="005820AA">
        <w:t xml:space="preserve"> 20 evaluations were paused due to capacity constraints</w:t>
      </w:r>
      <w:r w:rsidR="001A3231">
        <w:t xml:space="preserve"> </w:t>
      </w:r>
      <w:r w:rsidR="000C1C42">
        <w:t>because of</w:t>
      </w:r>
      <w:r w:rsidR="001A3231">
        <w:t xml:space="preserve"> vacancies in the work programme</w:t>
      </w:r>
      <w:r>
        <w:t xml:space="preserve">. </w:t>
      </w:r>
    </w:p>
    <w:p w14:paraId="15BD9260" w14:textId="0B00B702" w:rsidR="009765BC" w:rsidRDefault="00443B0C" w:rsidP="00CD47AD">
      <w:pPr>
        <w:pStyle w:val="NICEnormalnumbered"/>
      </w:pPr>
      <w:r>
        <w:t>T</w:t>
      </w:r>
      <w:r w:rsidR="00CD47AD" w:rsidRPr="00A20B2A">
        <w:t xml:space="preserve">he impact </w:t>
      </w:r>
      <w:r w:rsidR="00990662">
        <w:t xml:space="preserve">of </w:t>
      </w:r>
      <w:r w:rsidR="00CD47AD" w:rsidRPr="00A20B2A">
        <w:t>COVID-19 on productivity has reduced the income we have been able to recover</w:t>
      </w:r>
      <w:r w:rsidR="00B37137">
        <w:t>, with paused topics impacting the timing of milestones being achieved</w:t>
      </w:r>
      <w:r w:rsidR="002F621F">
        <w:t>.</w:t>
      </w:r>
      <w:r w:rsidR="009765BC">
        <w:t xml:space="preserve"> This affected the amount of income that could be recognised in 2020</w:t>
      </w:r>
      <w:r w:rsidR="00725D6E">
        <w:t>/</w:t>
      </w:r>
      <w:r w:rsidR="009765BC">
        <w:t>21. The pausing of topics also had an impact on the v</w:t>
      </w:r>
      <w:r w:rsidR="00B37137">
        <w:t>olume of new topics that could be started in 2020</w:t>
      </w:r>
      <w:r w:rsidR="00725D6E">
        <w:t>/</w:t>
      </w:r>
      <w:r w:rsidR="00B37137">
        <w:t>2</w:t>
      </w:r>
      <w:r w:rsidR="009765BC">
        <w:t xml:space="preserve">1, </w:t>
      </w:r>
      <w:r w:rsidR="002F621F">
        <w:t>which meant that income recognition in 2021-22 (particularly in the first 6 months) was lower than expected.</w:t>
      </w:r>
      <w:r>
        <w:t xml:space="preserve"> </w:t>
      </w:r>
    </w:p>
    <w:p w14:paraId="41A0C7E0" w14:textId="5FCE617C" w:rsidR="00CE195D" w:rsidRDefault="00160031" w:rsidP="00CD47AD">
      <w:pPr>
        <w:pStyle w:val="NICEnormalnumbered"/>
      </w:pPr>
      <w:r>
        <w:t xml:space="preserve">Vacancies in the TA/HST </w:t>
      </w:r>
      <w:r w:rsidR="00873313">
        <w:t xml:space="preserve">team </w:t>
      </w:r>
      <w:r>
        <w:t xml:space="preserve">has also had an impact on the productivity and throughput of the programme, but the reduced income is also partially offset by reduced costs and wouldn't be expected to be a significant contributary factor to the deficit. </w:t>
      </w:r>
      <w:r w:rsidR="00CE195D">
        <w:t xml:space="preserve">The average vacancy rate in the TA/HST team has been 7% since charges were introduced. </w:t>
      </w:r>
    </w:p>
    <w:p w14:paraId="01C2BF0C" w14:textId="404E5714" w:rsidR="00CD47AD" w:rsidRDefault="00160031" w:rsidP="00946AB7">
      <w:pPr>
        <w:pStyle w:val="NICEnormalnumbered"/>
      </w:pPr>
      <w:r>
        <w:t xml:space="preserve">However, </w:t>
      </w:r>
      <w:r w:rsidR="00BE7D02">
        <w:t>there was a greater number of va</w:t>
      </w:r>
      <w:r w:rsidR="007C4958">
        <w:t>c</w:t>
      </w:r>
      <w:r w:rsidR="00287DE6">
        <w:t>ancies</w:t>
      </w:r>
      <w:r w:rsidR="007C4958">
        <w:t xml:space="preserve"> </w:t>
      </w:r>
      <w:r w:rsidR="00287DE6">
        <w:t>in 202</w:t>
      </w:r>
      <w:r w:rsidR="00FE1819">
        <w:t>0</w:t>
      </w:r>
      <w:r w:rsidR="00287DE6">
        <w:t xml:space="preserve"> when the vacancy rate was as high as 12%</w:t>
      </w:r>
      <w:r w:rsidR="00BE7D02">
        <w:t>,</w:t>
      </w:r>
      <w:r w:rsidR="00CE195D">
        <w:t xml:space="preserve"> causing similar disruption to the pandemic</w:t>
      </w:r>
      <w:r w:rsidR="00145581">
        <w:t xml:space="preserve"> in terms of achieving milestones and starting new topics.</w:t>
      </w:r>
      <w:r w:rsidR="00287DE6">
        <w:t xml:space="preserve"> </w:t>
      </w:r>
      <w:r w:rsidR="00CE195D">
        <w:t xml:space="preserve">This issue has eased since then, and </w:t>
      </w:r>
      <w:r>
        <w:t>in</w:t>
      </w:r>
      <w:r w:rsidR="008C12AE">
        <w:t xml:space="preserve"> September</w:t>
      </w:r>
      <w:r>
        <w:t xml:space="preserve"> 2021</w:t>
      </w:r>
      <w:r w:rsidR="008C12AE">
        <w:t xml:space="preserve"> th</w:t>
      </w:r>
      <w:r w:rsidR="00CE195D">
        <w:t xml:space="preserve">e vacancy rate </w:t>
      </w:r>
      <w:r w:rsidR="008C12AE">
        <w:t xml:space="preserve">had fallen to 5% </w:t>
      </w:r>
      <w:r w:rsidR="00873313">
        <w:t>which</w:t>
      </w:r>
      <w:r w:rsidR="008C12AE">
        <w:t xml:space="preserve"> </w:t>
      </w:r>
      <w:r w:rsidR="008C12AE">
        <w:lastRenderedPageBreak/>
        <w:t>increase</w:t>
      </w:r>
      <w:r w:rsidR="00873313">
        <w:t>d</w:t>
      </w:r>
      <w:r w:rsidR="008C12AE">
        <w:t xml:space="preserve"> the capacity of the team. Recruitment to fill vacant entry-level analyst posts is ongoing through advertising campaigns and our postgraduate opportunities.</w:t>
      </w:r>
    </w:p>
    <w:p w14:paraId="549D76F7" w14:textId="1E5657D9" w:rsidR="006E1DA4" w:rsidRDefault="006E1DA4" w:rsidP="006E1DA4">
      <w:pPr>
        <w:pStyle w:val="NICEnormalnumbered"/>
      </w:pPr>
      <w:r>
        <w:t>The major consequence of pausing topics for C</w:t>
      </w:r>
      <w:r w:rsidR="007D111E">
        <w:t>OVID</w:t>
      </w:r>
      <w:r>
        <w:t>-19 and vacancies was that fewer topics started in 2020</w:t>
      </w:r>
      <w:r w:rsidR="007D111E">
        <w:t>/</w:t>
      </w:r>
      <w:r>
        <w:t>21 than was expected, therefore reducing income.   This has improved in 2021</w:t>
      </w:r>
      <w:r w:rsidR="007D111E">
        <w:t>/</w:t>
      </w:r>
      <w:r>
        <w:t>22, with the volume of topics starting expected to be close to the planned output of 88 topics per year (compared to 78 in 2021</w:t>
      </w:r>
      <w:r w:rsidR="007D111E">
        <w:t>/</w:t>
      </w:r>
      <w:r>
        <w:t>22 and 74 in 2020</w:t>
      </w:r>
      <w:r w:rsidR="007D111E">
        <w:t>/</w:t>
      </w:r>
      <w:r>
        <w:t>21), but much of this income will be recognised in 2022</w:t>
      </w:r>
      <w:r w:rsidR="007D111E">
        <w:t>/</w:t>
      </w:r>
      <w:r>
        <w:t xml:space="preserve">23. </w:t>
      </w:r>
    </w:p>
    <w:p w14:paraId="0A7A4658" w14:textId="6EC2C74A" w:rsidR="00E50D00" w:rsidRDefault="00CD47AD" w:rsidP="00CE5B13">
      <w:pPr>
        <w:pStyle w:val="NICEnormalnumbered"/>
      </w:pPr>
      <w:r w:rsidRPr="00A20B2A">
        <w:t>In addition to the disruption noted above,</w:t>
      </w:r>
      <w:r w:rsidR="00B80259">
        <w:t xml:space="preserve"> t</w:t>
      </w:r>
      <w:r w:rsidR="00B80259" w:rsidRPr="00B80259">
        <w:t xml:space="preserve">he fees have remained the same since charging began on 1 April 2019. The fees </w:t>
      </w:r>
      <w:r w:rsidR="00EC2B40">
        <w:t xml:space="preserve">set </w:t>
      </w:r>
      <w:r w:rsidR="00B80259" w:rsidRPr="00B80259">
        <w:t xml:space="preserve">were based on the costs of the programme </w:t>
      </w:r>
      <w:r w:rsidR="00EC2B40">
        <w:t>in 2018/19</w:t>
      </w:r>
      <w:r w:rsidR="00B80259" w:rsidRPr="00B80259">
        <w:t xml:space="preserve"> and</w:t>
      </w:r>
      <w:r w:rsidR="00EC2B40">
        <w:t xml:space="preserve"> the</w:t>
      </w:r>
      <w:r w:rsidR="00B80259" w:rsidRPr="00B80259">
        <w:t xml:space="preserve"> expected volumes of activity based on the topic pipeline.</w:t>
      </w:r>
      <w:r w:rsidRPr="00A20B2A">
        <w:t xml:space="preserve"> </w:t>
      </w:r>
      <w:r w:rsidR="00B80259">
        <w:t xml:space="preserve">However, pay </w:t>
      </w:r>
      <w:r w:rsidRPr="00A20B2A">
        <w:t xml:space="preserve">inflation is </w:t>
      </w:r>
      <w:r w:rsidR="00B80259">
        <w:t>a contributory factor to full-cost recovery not being achieved</w:t>
      </w:r>
      <w:r w:rsidRPr="00A20B2A">
        <w:t xml:space="preserve">, </w:t>
      </w:r>
      <w:r w:rsidR="00EC2B40">
        <w:t xml:space="preserve">including </w:t>
      </w:r>
      <w:r w:rsidRPr="00A20B2A">
        <w:t>this year's 3% NHS pay award</w:t>
      </w:r>
      <w:r w:rsidR="00576839">
        <w:t>. This is in addition to</w:t>
      </w:r>
      <w:r>
        <w:t xml:space="preserve"> increases to Agenda for Change pay bands in the 2 previous years </w:t>
      </w:r>
      <w:r w:rsidR="00576839">
        <w:t xml:space="preserve">along with increased pension costs that mean the cumulative cost increase in the 3 years </w:t>
      </w:r>
      <w:r w:rsidR="00E94BAB">
        <w:t>to 2021/22</w:t>
      </w:r>
      <w:r w:rsidR="00873313">
        <w:t xml:space="preserve"> is</w:t>
      </w:r>
      <w:r w:rsidR="00576839">
        <w:t xml:space="preserve"> </w:t>
      </w:r>
      <w:r w:rsidR="00137E5E">
        <w:t>15.68</w:t>
      </w:r>
      <w:r w:rsidR="00576839">
        <w:t xml:space="preserve">% (see Table </w:t>
      </w:r>
      <w:r w:rsidR="009150B1">
        <w:t>2</w:t>
      </w:r>
      <w:r w:rsidR="00576839">
        <w:t xml:space="preserve"> below)</w:t>
      </w:r>
      <w:r w:rsidRPr="00A20B2A">
        <w:t xml:space="preserve">. </w:t>
      </w:r>
    </w:p>
    <w:p w14:paraId="1137528D" w14:textId="2D818557" w:rsidR="00CE5B13" w:rsidRDefault="00CD47AD" w:rsidP="00CE5B13">
      <w:pPr>
        <w:pStyle w:val="NICEnormalnumbered"/>
      </w:pPr>
      <w:r w:rsidRPr="00A20B2A">
        <w:t xml:space="preserve">The fees will be updated from 1 April 2022 to include </w:t>
      </w:r>
      <w:r w:rsidR="00576839">
        <w:t xml:space="preserve">these </w:t>
      </w:r>
      <w:r w:rsidRPr="00A20B2A">
        <w:t xml:space="preserve">inflationary </w:t>
      </w:r>
      <w:r w:rsidR="00EC2B40">
        <w:t xml:space="preserve">pay </w:t>
      </w:r>
      <w:r w:rsidRPr="00A20B2A">
        <w:t>cost pressures on NICE</w:t>
      </w:r>
      <w:r w:rsidR="00576839">
        <w:t xml:space="preserve">, along with the new </w:t>
      </w:r>
      <w:r w:rsidR="00EC2B40">
        <w:t xml:space="preserve">National Insurance </w:t>
      </w:r>
      <w:r w:rsidR="00576839">
        <w:t>Health and Social Care Levy announced by the Government and an assumed 1% pay award for 2022</w:t>
      </w:r>
      <w:r w:rsidR="007D111E">
        <w:t>/</w:t>
      </w:r>
      <w:r w:rsidR="00576839">
        <w:t>23. This will</w:t>
      </w:r>
      <w:r w:rsidRPr="00A20B2A">
        <w:t xml:space="preserve"> ensure that costs are more likely to be fully recovered in line with original aims of charging and the principles of Managing Public Money</w:t>
      </w:r>
      <w:r>
        <w:t>.</w:t>
      </w:r>
    </w:p>
    <w:p w14:paraId="0FE62442" w14:textId="258DFADC" w:rsidR="00C170E9" w:rsidRDefault="00E50D00" w:rsidP="00DF065E">
      <w:pPr>
        <w:pStyle w:val="NICEnormalnumbered"/>
      </w:pPr>
      <w:r>
        <w:t xml:space="preserve">Pay costs account for approximately 80% of the costs of the TA and HST programme, with non-pay </w:t>
      </w:r>
      <w:r w:rsidR="008150F0">
        <w:t xml:space="preserve">costs including committee meetings and overheads. These non-pay costs have reduced due to the move to virtual or hybrid committee meetings and the relocation to the new Stratford office. These </w:t>
      </w:r>
      <w:r w:rsidR="005B04E5">
        <w:t>reductions in non-pay costs will be recognised in our future fees and</w:t>
      </w:r>
      <w:r w:rsidR="008150F0">
        <w:t xml:space="preserve"> </w:t>
      </w:r>
      <w:r w:rsidR="005B04E5">
        <w:t xml:space="preserve">will </w:t>
      </w:r>
      <w:r w:rsidR="008150F0">
        <w:t>partially offset the</w:t>
      </w:r>
      <w:r w:rsidR="00C64F67">
        <w:t xml:space="preserve"> cumulative</w:t>
      </w:r>
      <w:r w:rsidR="008150F0">
        <w:t xml:space="preserve"> pay inflation costs</w:t>
      </w:r>
      <w:r w:rsidR="005B04E5">
        <w:t xml:space="preserve"> of 18%</w:t>
      </w:r>
      <w:r w:rsidR="00C64F67">
        <w:t xml:space="preserve"> </w:t>
      </w:r>
      <w:r w:rsidR="00873313">
        <w:t xml:space="preserve">by 2022/23 </w:t>
      </w:r>
      <w:r w:rsidR="00C64F67">
        <w:t xml:space="preserve">shown in </w:t>
      </w:r>
      <w:r w:rsidR="005B04E5">
        <w:t>T</w:t>
      </w:r>
      <w:r w:rsidR="00C64F67">
        <w:t>able 2</w:t>
      </w:r>
      <w:r w:rsidR="008150F0">
        <w:t xml:space="preserve">, meaning the increase in fees </w:t>
      </w:r>
      <w:r w:rsidR="005B04E5">
        <w:t xml:space="preserve">from 1 April 2022 </w:t>
      </w:r>
      <w:r w:rsidR="008150F0">
        <w:t>is likely to be</w:t>
      </w:r>
      <w:r w:rsidR="00C64F67">
        <w:t xml:space="preserve"> approximately 13-14</w:t>
      </w:r>
      <w:r w:rsidR="008150F0">
        <w:t xml:space="preserve">% per </w:t>
      </w:r>
      <w:r w:rsidR="00E43AA0">
        <w:t>evaluation</w:t>
      </w:r>
      <w:r w:rsidR="005B04E5">
        <w:t>.</w:t>
      </w:r>
    </w:p>
    <w:p w14:paraId="628FD554" w14:textId="5D3B0A6F" w:rsidR="00576839" w:rsidRDefault="00576839" w:rsidP="00CE5B13">
      <w:pPr>
        <w:pStyle w:val="Tableheadingboardreport"/>
      </w:pPr>
      <w:r>
        <w:lastRenderedPageBreak/>
        <w:t xml:space="preserve">Table </w:t>
      </w:r>
      <w:r w:rsidR="009150B1">
        <w:t>2</w:t>
      </w:r>
      <w:r>
        <w:t xml:space="preserve"> - </w:t>
      </w:r>
      <w:r w:rsidR="00BB71D1">
        <w:t>c</w:t>
      </w:r>
      <w:r>
        <w:t>umulative impact of pay awards and increases to Employers Pe</w:t>
      </w:r>
      <w:r w:rsidR="00CE5B13">
        <w:t xml:space="preserve">nsion and NI </w:t>
      </w:r>
      <w:r>
        <w:t>contributions</w:t>
      </w:r>
    </w:p>
    <w:p w14:paraId="30BE9E23" w14:textId="77777777" w:rsidR="006A3ADC" w:rsidRDefault="006A3ADC" w:rsidP="00CE5B13">
      <w:pPr>
        <w:pStyle w:val="Tableheadingboardreport"/>
      </w:pPr>
    </w:p>
    <w:tbl>
      <w:tblPr>
        <w:tblStyle w:val="PlainTable1"/>
        <w:tblW w:w="9922" w:type="dxa"/>
        <w:tblLook w:val="04A0" w:firstRow="1" w:lastRow="0" w:firstColumn="1" w:lastColumn="0" w:noHBand="0" w:noVBand="1"/>
      </w:tblPr>
      <w:tblGrid>
        <w:gridCol w:w="4815"/>
        <w:gridCol w:w="1134"/>
        <w:gridCol w:w="1276"/>
        <w:gridCol w:w="1275"/>
        <w:gridCol w:w="1422"/>
      </w:tblGrid>
      <w:tr w:rsidR="00137E5E" w:rsidRPr="006A3ADC" w14:paraId="63586836" w14:textId="77777777" w:rsidTr="008174FC">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815" w:type="dxa"/>
            <w:hideMark/>
          </w:tcPr>
          <w:p w14:paraId="68779CC1" w14:textId="37A9E266" w:rsidR="006A3ADC" w:rsidRPr="006A3ADC" w:rsidRDefault="006A3ADC" w:rsidP="008174FC">
            <w:pPr>
              <w:pStyle w:val="Tableheadingboardreport"/>
              <w:rPr>
                <w:b/>
                <w:bCs w:val="0"/>
                <w:lang w:eastAsia="en-GB"/>
              </w:rPr>
            </w:pPr>
            <w:r w:rsidRPr="006A3ADC">
              <w:rPr>
                <w:b/>
                <w:lang w:eastAsia="en-GB"/>
              </w:rPr>
              <w:t>Pay and Pension Changes</w:t>
            </w:r>
            <w:r w:rsidRPr="006A3ADC">
              <w:rPr>
                <w:lang w:eastAsia="en-GB"/>
              </w:rPr>
              <w:t> </w:t>
            </w:r>
          </w:p>
        </w:tc>
        <w:tc>
          <w:tcPr>
            <w:tcW w:w="1134" w:type="dxa"/>
            <w:hideMark/>
          </w:tcPr>
          <w:p w14:paraId="4FC59385" w14:textId="77777777" w:rsidR="006A3ADC" w:rsidRPr="006A3ADC" w:rsidRDefault="006A3ADC"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6A3ADC">
              <w:rPr>
                <w:b/>
                <w:lang w:eastAsia="en-GB"/>
              </w:rPr>
              <w:t>2019-20</w:t>
            </w:r>
          </w:p>
        </w:tc>
        <w:tc>
          <w:tcPr>
            <w:tcW w:w="1276" w:type="dxa"/>
            <w:hideMark/>
          </w:tcPr>
          <w:p w14:paraId="69B9355F" w14:textId="77777777" w:rsidR="006A3ADC" w:rsidRPr="006A3ADC" w:rsidRDefault="006A3ADC"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6A3ADC">
              <w:rPr>
                <w:b/>
                <w:lang w:eastAsia="en-GB"/>
              </w:rPr>
              <w:t>2020-21</w:t>
            </w:r>
          </w:p>
        </w:tc>
        <w:tc>
          <w:tcPr>
            <w:tcW w:w="1275" w:type="dxa"/>
            <w:hideMark/>
          </w:tcPr>
          <w:p w14:paraId="01417879" w14:textId="77777777" w:rsidR="006A3ADC" w:rsidRPr="006A3ADC" w:rsidRDefault="006A3ADC"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6A3ADC">
              <w:rPr>
                <w:b/>
                <w:lang w:eastAsia="en-GB"/>
              </w:rPr>
              <w:t>2021-22</w:t>
            </w:r>
          </w:p>
        </w:tc>
        <w:tc>
          <w:tcPr>
            <w:tcW w:w="1422" w:type="dxa"/>
            <w:hideMark/>
          </w:tcPr>
          <w:p w14:paraId="47B77034" w14:textId="77777777" w:rsidR="006A3ADC" w:rsidRPr="006A3ADC" w:rsidRDefault="006A3ADC"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6A3ADC">
              <w:rPr>
                <w:b/>
                <w:lang w:eastAsia="en-GB"/>
              </w:rPr>
              <w:t>2022-23</w:t>
            </w:r>
          </w:p>
        </w:tc>
      </w:tr>
      <w:tr w:rsidR="00137E5E" w:rsidRPr="006A3ADC" w14:paraId="61E9CD3E" w14:textId="77777777" w:rsidTr="008174FC">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4815" w:type="dxa"/>
            <w:hideMark/>
          </w:tcPr>
          <w:p w14:paraId="51A2C572" w14:textId="18DD9AAB" w:rsidR="00C170E9" w:rsidRPr="00C170E9" w:rsidRDefault="00C170E9" w:rsidP="00C170E9">
            <w:pPr>
              <w:pStyle w:val="Tabletext"/>
            </w:pPr>
            <w:r w:rsidRPr="00C170E9">
              <w:t>Annual pay increase awarded by NHS pay review body</w:t>
            </w:r>
          </w:p>
        </w:tc>
        <w:tc>
          <w:tcPr>
            <w:tcW w:w="1134" w:type="dxa"/>
            <w:hideMark/>
          </w:tcPr>
          <w:p w14:paraId="6C7D7A7B" w14:textId="6CF2A829" w:rsidR="00C170E9" w:rsidRPr="00C170E9" w:rsidRDefault="00137E5E" w:rsidP="00C170E9">
            <w:pPr>
              <w:pStyle w:val="Tabletext"/>
              <w:cnfStyle w:val="000000100000" w:firstRow="0" w:lastRow="0" w:firstColumn="0" w:lastColumn="0" w:oddVBand="0" w:evenVBand="0" w:oddHBand="1" w:evenHBand="0" w:firstRowFirstColumn="0" w:firstRowLastColumn="0" w:lastRowFirstColumn="0" w:lastRowLastColumn="0"/>
            </w:pPr>
            <w:r>
              <w:t>3.59</w:t>
            </w:r>
            <w:r w:rsidR="00C170E9" w:rsidRPr="00C170E9">
              <w:t>%</w:t>
            </w:r>
          </w:p>
        </w:tc>
        <w:tc>
          <w:tcPr>
            <w:tcW w:w="1276" w:type="dxa"/>
            <w:hideMark/>
          </w:tcPr>
          <w:p w14:paraId="24D0B93F" w14:textId="2A84EE37" w:rsidR="00C170E9" w:rsidRPr="00C170E9" w:rsidRDefault="00137E5E" w:rsidP="00C170E9">
            <w:pPr>
              <w:pStyle w:val="Tabletext"/>
              <w:cnfStyle w:val="000000100000" w:firstRow="0" w:lastRow="0" w:firstColumn="0" w:lastColumn="0" w:oddVBand="0" w:evenVBand="0" w:oddHBand="1" w:evenHBand="0" w:firstRowFirstColumn="0" w:firstRowLastColumn="0" w:lastRowFirstColumn="0" w:lastRowLastColumn="0"/>
            </w:pPr>
            <w:r>
              <w:t>2.21</w:t>
            </w:r>
            <w:r w:rsidR="00C170E9" w:rsidRPr="00C170E9">
              <w:t>%</w:t>
            </w:r>
          </w:p>
        </w:tc>
        <w:tc>
          <w:tcPr>
            <w:tcW w:w="1275" w:type="dxa"/>
            <w:hideMark/>
          </w:tcPr>
          <w:p w14:paraId="765F6366" w14:textId="6B6D34ED" w:rsidR="00C170E9" w:rsidRPr="00C170E9" w:rsidRDefault="00C170E9" w:rsidP="00C170E9">
            <w:pPr>
              <w:pStyle w:val="Tabletext"/>
              <w:cnfStyle w:val="000000100000" w:firstRow="0" w:lastRow="0" w:firstColumn="0" w:lastColumn="0" w:oddVBand="0" w:evenVBand="0" w:oddHBand="1" w:evenHBand="0" w:firstRowFirstColumn="0" w:firstRowLastColumn="0" w:lastRowFirstColumn="0" w:lastRowLastColumn="0"/>
            </w:pPr>
            <w:r w:rsidRPr="00C170E9">
              <w:t>3%</w:t>
            </w:r>
          </w:p>
        </w:tc>
        <w:tc>
          <w:tcPr>
            <w:tcW w:w="1422" w:type="dxa"/>
            <w:hideMark/>
          </w:tcPr>
          <w:p w14:paraId="44754521" w14:textId="2D2AD0DC" w:rsidR="00C170E9" w:rsidRPr="00C170E9" w:rsidRDefault="003F296F" w:rsidP="00C170E9">
            <w:pPr>
              <w:pStyle w:val="Tabletext"/>
              <w:cnfStyle w:val="000000100000" w:firstRow="0" w:lastRow="0" w:firstColumn="0" w:lastColumn="0" w:oddVBand="0" w:evenVBand="0" w:oddHBand="1" w:evenHBand="0" w:firstRowFirstColumn="0" w:firstRowLastColumn="0" w:lastRowFirstColumn="0" w:lastRowLastColumn="0"/>
            </w:pPr>
            <w:r>
              <w:t>-</w:t>
            </w:r>
          </w:p>
        </w:tc>
      </w:tr>
      <w:tr w:rsidR="00137E5E" w:rsidRPr="006A3ADC" w14:paraId="685DB8D2" w14:textId="77777777" w:rsidTr="008174FC">
        <w:trPr>
          <w:trHeight w:val="700"/>
        </w:trPr>
        <w:tc>
          <w:tcPr>
            <w:cnfStyle w:val="001000000000" w:firstRow="0" w:lastRow="0" w:firstColumn="1" w:lastColumn="0" w:oddVBand="0" w:evenVBand="0" w:oddHBand="0" w:evenHBand="0" w:firstRowFirstColumn="0" w:firstRowLastColumn="0" w:lastRowFirstColumn="0" w:lastRowLastColumn="0"/>
            <w:tcW w:w="4815" w:type="dxa"/>
            <w:hideMark/>
          </w:tcPr>
          <w:p w14:paraId="61739D96" w14:textId="623E3D13" w:rsidR="00C170E9" w:rsidRPr="00C170E9" w:rsidRDefault="00C170E9" w:rsidP="00C170E9">
            <w:pPr>
              <w:pStyle w:val="Tabletext"/>
            </w:pPr>
            <w:r w:rsidRPr="00C170E9">
              <w:t>Increase in NHS Pension Employer contributions (from 14.38% to 20.68%)</w:t>
            </w:r>
          </w:p>
        </w:tc>
        <w:tc>
          <w:tcPr>
            <w:tcW w:w="1134" w:type="dxa"/>
            <w:hideMark/>
          </w:tcPr>
          <w:p w14:paraId="2B716A12" w14:textId="624BBEDA" w:rsidR="00C170E9" w:rsidRPr="00C170E9" w:rsidRDefault="00C170E9" w:rsidP="00C170E9">
            <w:pPr>
              <w:pStyle w:val="Tabletext"/>
              <w:cnfStyle w:val="000000000000" w:firstRow="0" w:lastRow="0" w:firstColumn="0" w:lastColumn="0" w:oddVBand="0" w:evenVBand="0" w:oddHBand="0" w:evenHBand="0" w:firstRowFirstColumn="0" w:firstRowLastColumn="0" w:lastRowFirstColumn="0" w:lastRowLastColumn="0"/>
            </w:pPr>
            <w:r w:rsidRPr="00C170E9">
              <w:t>6.30%</w:t>
            </w:r>
          </w:p>
        </w:tc>
        <w:tc>
          <w:tcPr>
            <w:tcW w:w="1276" w:type="dxa"/>
            <w:hideMark/>
          </w:tcPr>
          <w:p w14:paraId="38FF0191" w14:textId="32A841C6" w:rsidR="00C170E9" w:rsidRPr="00C170E9" w:rsidRDefault="003F296F" w:rsidP="00C170E9">
            <w:pPr>
              <w:pStyle w:val="Tabletext"/>
              <w:cnfStyle w:val="000000000000" w:firstRow="0" w:lastRow="0" w:firstColumn="0" w:lastColumn="0" w:oddVBand="0" w:evenVBand="0" w:oddHBand="0" w:evenHBand="0" w:firstRowFirstColumn="0" w:firstRowLastColumn="0" w:lastRowFirstColumn="0" w:lastRowLastColumn="0"/>
            </w:pPr>
            <w:r>
              <w:t>-</w:t>
            </w:r>
          </w:p>
        </w:tc>
        <w:tc>
          <w:tcPr>
            <w:tcW w:w="1275" w:type="dxa"/>
            <w:hideMark/>
          </w:tcPr>
          <w:p w14:paraId="29EBE707" w14:textId="43C3B026" w:rsidR="00C170E9" w:rsidRPr="00C170E9" w:rsidRDefault="003F296F" w:rsidP="00C170E9">
            <w:pPr>
              <w:pStyle w:val="Tabletext"/>
              <w:cnfStyle w:val="000000000000" w:firstRow="0" w:lastRow="0" w:firstColumn="0" w:lastColumn="0" w:oddVBand="0" w:evenVBand="0" w:oddHBand="0" w:evenHBand="0" w:firstRowFirstColumn="0" w:firstRowLastColumn="0" w:lastRowFirstColumn="0" w:lastRowLastColumn="0"/>
            </w:pPr>
            <w:r>
              <w:t>-</w:t>
            </w:r>
          </w:p>
        </w:tc>
        <w:tc>
          <w:tcPr>
            <w:tcW w:w="1422" w:type="dxa"/>
            <w:hideMark/>
          </w:tcPr>
          <w:p w14:paraId="5A0AB8BB" w14:textId="06EEAAF3" w:rsidR="00C170E9" w:rsidRPr="00C170E9" w:rsidRDefault="003F296F" w:rsidP="00C170E9">
            <w:pPr>
              <w:pStyle w:val="Tabletext"/>
              <w:cnfStyle w:val="000000000000" w:firstRow="0" w:lastRow="0" w:firstColumn="0" w:lastColumn="0" w:oddVBand="0" w:evenVBand="0" w:oddHBand="0" w:evenHBand="0" w:firstRowFirstColumn="0" w:firstRowLastColumn="0" w:lastRowFirstColumn="0" w:lastRowLastColumn="0"/>
            </w:pPr>
            <w:r>
              <w:t>-</w:t>
            </w:r>
          </w:p>
        </w:tc>
      </w:tr>
      <w:tr w:rsidR="00137E5E" w:rsidRPr="006A3ADC" w14:paraId="70DE16D6" w14:textId="77777777" w:rsidTr="008174FC">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815" w:type="dxa"/>
            <w:hideMark/>
          </w:tcPr>
          <w:p w14:paraId="6E8836CA" w14:textId="17F62CF7" w:rsidR="00C170E9" w:rsidRPr="00C170E9" w:rsidRDefault="00C170E9" w:rsidP="00C170E9">
            <w:pPr>
              <w:pStyle w:val="Tabletext"/>
            </w:pPr>
            <w:r w:rsidRPr="00C170E9">
              <w:t>Increase in NI Employers costs (Health and Social Care Levy) from April 2022</w:t>
            </w:r>
          </w:p>
        </w:tc>
        <w:tc>
          <w:tcPr>
            <w:tcW w:w="1134" w:type="dxa"/>
            <w:hideMark/>
          </w:tcPr>
          <w:p w14:paraId="7AAACFCD" w14:textId="43A1A4DA" w:rsidR="00C170E9" w:rsidRPr="00C170E9" w:rsidRDefault="003F296F" w:rsidP="00C170E9">
            <w:pPr>
              <w:pStyle w:val="Tabletext"/>
              <w:cnfStyle w:val="000000100000" w:firstRow="0" w:lastRow="0" w:firstColumn="0" w:lastColumn="0" w:oddVBand="0" w:evenVBand="0" w:oddHBand="1" w:evenHBand="0" w:firstRowFirstColumn="0" w:firstRowLastColumn="0" w:lastRowFirstColumn="0" w:lastRowLastColumn="0"/>
            </w:pPr>
            <w:r>
              <w:t>-</w:t>
            </w:r>
          </w:p>
        </w:tc>
        <w:tc>
          <w:tcPr>
            <w:tcW w:w="1276" w:type="dxa"/>
            <w:hideMark/>
          </w:tcPr>
          <w:p w14:paraId="05F2E563" w14:textId="07170E2C" w:rsidR="00C170E9" w:rsidRPr="00C170E9" w:rsidRDefault="003F296F" w:rsidP="00C170E9">
            <w:pPr>
              <w:pStyle w:val="Tabletext"/>
              <w:cnfStyle w:val="000000100000" w:firstRow="0" w:lastRow="0" w:firstColumn="0" w:lastColumn="0" w:oddVBand="0" w:evenVBand="0" w:oddHBand="1" w:evenHBand="0" w:firstRowFirstColumn="0" w:firstRowLastColumn="0" w:lastRowFirstColumn="0" w:lastRowLastColumn="0"/>
            </w:pPr>
            <w:r>
              <w:t>-</w:t>
            </w:r>
          </w:p>
        </w:tc>
        <w:tc>
          <w:tcPr>
            <w:tcW w:w="1275" w:type="dxa"/>
            <w:hideMark/>
          </w:tcPr>
          <w:p w14:paraId="5256A875" w14:textId="55934A78" w:rsidR="00C170E9" w:rsidRPr="00C170E9" w:rsidRDefault="003F296F" w:rsidP="00C170E9">
            <w:pPr>
              <w:pStyle w:val="Tabletext"/>
              <w:cnfStyle w:val="000000100000" w:firstRow="0" w:lastRow="0" w:firstColumn="0" w:lastColumn="0" w:oddVBand="0" w:evenVBand="0" w:oddHBand="1" w:evenHBand="0" w:firstRowFirstColumn="0" w:firstRowLastColumn="0" w:lastRowFirstColumn="0" w:lastRowLastColumn="0"/>
            </w:pPr>
            <w:r>
              <w:t>-</w:t>
            </w:r>
          </w:p>
        </w:tc>
        <w:tc>
          <w:tcPr>
            <w:tcW w:w="1422" w:type="dxa"/>
            <w:hideMark/>
          </w:tcPr>
          <w:p w14:paraId="618971C2" w14:textId="13A7294E" w:rsidR="00C170E9" w:rsidRPr="00C170E9" w:rsidRDefault="00C170E9" w:rsidP="00C170E9">
            <w:pPr>
              <w:pStyle w:val="Tabletext"/>
              <w:cnfStyle w:val="000000100000" w:firstRow="0" w:lastRow="0" w:firstColumn="0" w:lastColumn="0" w:oddVBand="0" w:evenVBand="0" w:oddHBand="1" w:evenHBand="0" w:firstRowFirstColumn="0" w:firstRowLastColumn="0" w:lastRowFirstColumn="0" w:lastRowLastColumn="0"/>
            </w:pPr>
            <w:r w:rsidRPr="00C170E9">
              <w:t>1.25%</w:t>
            </w:r>
          </w:p>
        </w:tc>
      </w:tr>
      <w:tr w:rsidR="00137E5E" w:rsidRPr="006A3ADC" w14:paraId="0D16EE04" w14:textId="77777777" w:rsidTr="008174FC">
        <w:trPr>
          <w:trHeight w:val="459"/>
        </w:trPr>
        <w:tc>
          <w:tcPr>
            <w:cnfStyle w:val="001000000000" w:firstRow="0" w:lastRow="0" w:firstColumn="1" w:lastColumn="0" w:oddVBand="0" w:evenVBand="0" w:oddHBand="0" w:evenHBand="0" w:firstRowFirstColumn="0" w:firstRowLastColumn="0" w:lastRowFirstColumn="0" w:lastRowLastColumn="0"/>
            <w:tcW w:w="4815" w:type="dxa"/>
            <w:hideMark/>
          </w:tcPr>
          <w:p w14:paraId="131EF725" w14:textId="608CC5E9" w:rsidR="00C170E9" w:rsidRPr="00C170E9" w:rsidRDefault="00C170E9" w:rsidP="00C170E9">
            <w:pPr>
              <w:pStyle w:val="Tabletext"/>
            </w:pPr>
            <w:r w:rsidRPr="00C170E9">
              <w:t>Estimated pay award for 2022</w:t>
            </w:r>
            <w:r w:rsidR="007D111E">
              <w:t>/</w:t>
            </w:r>
            <w:r w:rsidRPr="00C170E9">
              <w:t>23 (TBC)</w:t>
            </w:r>
          </w:p>
        </w:tc>
        <w:tc>
          <w:tcPr>
            <w:tcW w:w="1134" w:type="dxa"/>
            <w:hideMark/>
          </w:tcPr>
          <w:p w14:paraId="25FC1365" w14:textId="3168FEA1" w:rsidR="00C170E9" w:rsidRPr="00C170E9" w:rsidRDefault="003F296F" w:rsidP="00C170E9">
            <w:pPr>
              <w:pStyle w:val="Tabletext"/>
              <w:cnfStyle w:val="000000000000" w:firstRow="0" w:lastRow="0" w:firstColumn="0" w:lastColumn="0" w:oddVBand="0" w:evenVBand="0" w:oddHBand="0" w:evenHBand="0" w:firstRowFirstColumn="0" w:firstRowLastColumn="0" w:lastRowFirstColumn="0" w:lastRowLastColumn="0"/>
            </w:pPr>
            <w:r>
              <w:t>-</w:t>
            </w:r>
          </w:p>
        </w:tc>
        <w:tc>
          <w:tcPr>
            <w:tcW w:w="1276" w:type="dxa"/>
            <w:hideMark/>
          </w:tcPr>
          <w:p w14:paraId="5280D212" w14:textId="4485B49A" w:rsidR="00C170E9" w:rsidRPr="00C170E9" w:rsidRDefault="003F296F" w:rsidP="00C170E9">
            <w:pPr>
              <w:pStyle w:val="Tabletext"/>
              <w:cnfStyle w:val="000000000000" w:firstRow="0" w:lastRow="0" w:firstColumn="0" w:lastColumn="0" w:oddVBand="0" w:evenVBand="0" w:oddHBand="0" w:evenHBand="0" w:firstRowFirstColumn="0" w:firstRowLastColumn="0" w:lastRowFirstColumn="0" w:lastRowLastColumn="0"/>
            </w:pPr>
            <w:r>
              <w:t>-</w:t>
            </w:r>
          </w:p>
        </w:tc>
        <w:tc>
          <w:tcPr>
            <w:tcW w:w="1275" w:type="dxa"/>
            <w:hideMark/>
          </w:tcPr>
          <w:p w14:paraId="3307E836" w14:textId="1CFF09C7" w:rsidR="00C170E9" w:rsidRPr="00C170E9" w:rsidRDefault="003F296F" w:rsidP="00C170E9">
            <w:pPr>
              <w:pStyle w:val="Tabletext"/>
              <w:cnfStyle w:val="000000000000" w:firstRow="0" w:lastRow="0" w:firstColumn="0" w:lastColumn="0" w:oddVBand="0" w:evenVBand="0" w:oddHBand="0" w:evenHBand="0" w:firstRowFirstColumn="0" w:firstRowLastColumn="0" w:lastRowFirstColumn="0" w:lastRowLastColumn="0"/>
            </w:pPr>
            <w:r>
              <w:t>-</w:t>
            </w:r>
          </w:p>
        </w:tc>
        <w:tc>
          <w:tcPr>
            <w:tcW w:w="1422" w:type="dxa"/>
            <w:hideMark/>
          </w:tcPr>
          <w:p w14:paraId="51643A21" w14:textId="149C79D2" w:rsidR="00C170E9" w:rsidRPr="00C170E9" w:rsidRDefault="00C170E9" w:rsidP="00C170E9">
            <w:pPr>
              <w:pStyle w:val="Tabletext"/>
              <w:cnfStyle w:val="000000000000" w:firstRow="0" w:lastRow="0" w:firstColumn="0" w:lastColumn="0" w:oddVBand="0" w:evenVBand="0" w:oddHBand="0" w:evenHBand="0" w:firstRowFirstColumn="0" w:firstRowLastColumn="0" w:lastRowFirstColumn="0" w:lastRowLastColumn="0"/>
            </w:pPr>
            <w:r w:rsidRPr="00C170E9">
              <w:t>1%</w:t>
            </w:r>
          </w:p>
        </w:tc>
      </w:tr>
      <w:tr w:rsidR="00C170E9" w:rsidRPr="006A3ADC" w14:paraId="0FF12A51" w14:textId="77777777" w:rsidTr="008174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15" w:type="dxa"/>
            <w:hideMark/>
          </w:tcPr>
          <w:p w14:paraId="43B5C3C1" w14:textId="36888D51" w:rsidR="00C170E9" w:rsidRPr="00C170E9" w:rsidRDefault="00C170E9" w:rsidP="00C170E9">
            <w:pPr>
              <w:pStyle w:val="Tabletext"/>
            </w:pPr>
            <w:r w:rsidRPr="00C170E9">
              <w:t>Compound Cumulative increase in pay costs</w:t>
            </w:r>
          </w:p>
        </w:tc>
        <w:tc>
          <w:tcPr>
            <w:tcW w:w="1134" w:type="dxa"/>
            <w:hideMark/>
          </w:tcPr>
          <w:p w14:paraId="2F2394B6" w14:textId="4D4C5611" w:rsidR="00C170E9" w:rsidRPr="00C170E9" w:rsidRDefault="00137E5E" w:rsidP="00C170E9">
            <w:pPr>
              <w:pStyle w:val="Tabletext"/>
              <w:cnfStyle w:val="000000100000" w:firstRow="0" w:lastRow="0" w:firstColumn="0" w:lastColumn="0" w:oddVBand="0" w:evenVBand="0" w:oddHBand="1" w:evenHBand="0" w:firstRowFirstColumn="0" w:firstRowLastColumn="0" w:lastRowFirstColumn="0" w:lastRowLastColumn="0"/>
            </w:pPr>
            <w:r>
              <w:t>9.89%</w:t>
            </w:r>
          </w:p>
        </w:tc>
        <w:tc>
          <w:tcPr>
            <w:tcW w:w="1276" w:type="dxa"/>
            <w:hideMark/>
          </w:tcPr>
          <w:p w14:paraId="030CDC8B" w14:textId="5A84CAF2" w:rsidR="00C170E9" w:rsidRPr="00C170E9" w:rsidRDefault="00137E5E" w:rsidP="00C170E9">
            <w:pPr>
              <w:pStyle w:val="Tabletext"/>
              <w:cnfStyle w:val="000000100000" w:firstRow="0" w:lastRow="0" w:firstColumn="0" w:lastColumn="0" w:oddVBand="0" w:evenVBand="0" w:oddHBand="1" w:evenHBand="0" w:firstRowFirstColumn="0" w:firstRowLastColumn="0" w:lastRowFirstColumn="0" w:lastRowLastColumn="0"/>
            </w:pPr>
            <w:r>
              <w:t>12.31</w:t>
            </w:r>
            <w:r w:rsidR="00C170E9" w:rsidRPr="00C170E9">
              <w:t>%</w:t>
            </w:r>
          </w:p>
        </w:tc>
        <w:tc>
          <w:tcPr>
            <w:tcW w:w="1275" w:type="dxa"/>
            <w:hideMark/>
          </w:tcPr>
          <w:p w14:paraId="1F756C7B" w14:textId="2E54DB6B" w:rsidR="00C170E9" w:rsidRPr="00C170E9" w:rsidRDefault="00137E5E" w:rsidP="00C170E9">
            <w:pPr>
              <w:pStyle w:val="Tabletext"/>
              <w:cnfStyle w:val="000000100000" w:firstRow="0" w:lastRow="0" w:firstColumn="0" w:lastColumn="0" w:oddVBand="0" w:evenVBand="0" w:oddHBand="1" w:evenHBand="0" w:firstRowFirstColumn="0" w:firstRowLastColumn="0" w:lastRowFirstColumn="0" w:lastRowLastColumn="0"/>
            </w:pPr>
            <w:r>
              <w:t>15.68</w:t>
            </w:r>
            <w:r w:rsidR="00C170E9" w:rsidRPr="00C170E9">
              <w:t>%</w:t>
            </w:r>
          </w:p>
        </w:tc>
        <w:tc>
          <w:tcPr>
            <w:tcW w:w="1422" w:type="dxa"/>
            <w:hideMark/>
          </w:tcPr>
          <w:p w14:paraId="76CF7610" w14:textId="0DF3FAEB" w:rsidR="00C170E9" w:rsidRPr="00C170E9" w:rsidRDefault="00137E5E" w:rsidP="00C170E9">
            <w:pPr>
              <w:pStyle w:val="Tabletext"/>
              <w:cnfStyle w:val="000000100000" w:firstRow="0" w:lastRow="0" w:firstColumn="0" w:lastColumn="0" w:oddVBand="0" w:evenVBand="0" w:oddHBand="1" w:evenHBand="0" w:firstRowFirstColumn="0" w:firstRowLastColumn="0" w:lastRowFirstColumn="0" w:lastRowLastColumn="0"/>
            </w:pPr>
            <w:r>
              <w:t>18.29</w:t>
            </w:r>
            <w:r w:rsidR="00C170E9" w:rsidRPr="00C170E9">
              <w:t>%</w:t>
            </w:r>
          </w:p>
        </w:tc>
      </w:tr>
    </w:tbl>
    <w:p w14:paraId="5F0F5547" w14:textId="299EE37C" w:rsidR="00564AA4" w:rsidRDefault="00137E5E" w:rsidP="00137E5E">
      <w:pPr>
        <w:pStyle w:val="Commenttextitalic"/>
      </w:pPr>
      <w:r>
        <w:t>*In years 1 and 2 the increase was linked to an employee's pay band and length of service. The figures here are the average increase between the bottom and top spine points in each Agenda for Change pay band.</w:t>
      </w:r>
    </w:p>
    <w:p w14:paraId="7C44FD9F" w14:textId="77777777" w:rsidR="001C3944" w:rsidRDefault="001C3944" w:rsidP="001C3944">
      <w:pPr>
        <w:pStyle w:val="Heading2boardreport"/>
      </w:pPr>
      <w:r>
        <w:t>Evaluations subject to charging</w:t>
      </w:r>
    </w:p>
    <w:p w14:paraId="7DC2C654" w14:textId="0EFEBB05" w:rsidR="001C3944" w:rsidRPr="001C3944" w:rsidRDefault="001C3944" w:rsidP="001C3944">
      <w:pPr>
        <w:pStyle w:val="NICEnormalnumbered"/>
      </w:pPr>
      <w:r w:rsidRPr="001C3944">
        <w:t>A total of 191 evaluations have been subject to charging between 1 April 2019 and 30 September 2021</w:t>
      </w:r>
      <w:r w:rsidR="005D649A">
        <w:t xml:space="preserve"> (the 'review period')</w:t>
      </w:r>
      <w:r w:rsidRPr="001C3944">
        <w:t xml:space="preserve">. </w:t>
      </w:r>
    </w:p>
    <w:p w14:paraId="343F713D" w14:textId="6CDE91DD" w:rsidR="001C3944" w:rsidRPr="00E92D97" w:rsidRDefault="001C3944" w:rsidP="001C3944">
      <w:pPr>
        <w:pStyle w:val="NICEnormalnumbered"/>
      </w:pPr>
      <w:r w:rsidRPr="001C3944">
        <w:t>7</w:t>
      </w:r>
      <w:r w:rsidRPr="00E92D97">
        <w:t>0 of those have published final guidance,</w:t>
      </w:r>
      <w:r w:rsidR="00CA39CD">
        <w:t xml:space="preserve"> 22 (33%)</w:t>
      </w:r>
      <w:r w:rsidRPr="00E92D97">
        <w:t xml:space="preserve"> went straight to final draft recommendations and did not require a consultation with stakeholders. </w:t>
      </w:r>
    </w:p>
    <w:p w14:paraId="74ACD59E" w14:textId="4D82D9F0" w:rsidR="001C3944" w:rsidRDefault="001C3944" w:rsidP="001C3944">
      <w:pPr>
        <w:pStyle w:val="NICEnormalnumbered"/>
      </w:pPr>
      <w:r>
        <w:t xml:space="preserve">As </w:t>
      </w:r>
      <w:r w:rsidRPr="00E92D97">
        <w:t>of 30 September 2021, 14 evaluations required a refund</w:t>
      </w:r>
      <w:r w:rsidR="000B242F">
        <w:t xml:space="preserve"> (see section </w:t>
      </w:r>
      <w:r w:rsidR="00465078">
        <w:t>3</w:t>
      </w:r>
      <w:r w:rsidR="00EF151F">
        <w:t>1</w:t>
      </w:r>
      <w:r w:rsidR="000B242F">
        <w:t xml:space="preserve"> for more details)</w:t>
      </w:r>
      <w:r w:rsidRPr="00E92D97">
        <w:t xml:space="preserve"> and 107 remain in progress. The number of evaluations published subject to charging, and the process followed are listed below (terminated guidance is excluded </w:t>
      </w:r>
      <w:r w:rsidR="0011639D">
        <w:t xml:space="preserve">from </w:t>
      </w:r>
      <w:r w:rsidR="00A848BB">
        <w:t xml:space="preserve">charging </w:t>
      </w:r>
      <w:r w:rsidR="0011639D">
        <w:t xml:space="preserve">and </w:t>
      </w:r>
      <w:r w:rsidRPr="00E92D97">
        <w:t>the publication numbers</w:t>
      </w:r>
      <w:r w:rsidR="002C05BA">
        <w:t xml:space="preserve"> </w:t>
      </w:r>
      <w:r w:rsidR="00A848BB">
        <w:t>provided</w:t>
      </w:r>
      <w:r w:rsidRPr="00E92D97">
        <w:t>). Note that in 2019</w:t>
      </w:r>
      <w:r w:rsidR="007D111E">
        <w:t>/</w:t>
      </w:r>
      <w:r w:rsidRPr="00E92D97">
        <w:t>20, no evaluations subject to charging were published</w:t>
      </w:r>
      <w:r w:rsidR="00217DDB">
        <w:t xml:space="preserve"> as final guidance</w:t>
      </w:r>
      <w:r w:rsidRPr="00E92D97">
        <w:t>.</w:t>
      </w:r>
    </w:p>
    <w:p w14:paraId="01220FF2" w14:textId="77777777" w:rsidR="006A3ADC" w:rsidRDefault="006A3ADC" w:rsidP="006A3ADC">
      <w:pPr>
        <w:pStyle w:val="NICEnormalnumbered"/>
        <w:numPr>
          <w:ilvl w:val="0"/>
          <w:numId w:val="0"/>
        </w:numPr>
        <w:ind w:left="644"/>
      </w:pPr>
    </w:p>
    <w:p w14:paraId="258BF3EE" w14:textId="63FAFFF7" w:rsidR="001C3944" w:rsidRDefault="001C3944" w:rsidP="001C3944">
      <w:pPr>
        <w:pStyle w:val="Caption"/>
      </w:pPr>
      <w:r w:rsidRPr="001C3944">
        <w:lastRenderedPageBreak/>
        <w:t>Table 3 - published topics by process and year</w:t>
      </w:r>
    </w:p>
    <w:tbl>
      <w:tblPr>
        <w:tblStyle w:val="PlainTable1"/>
        <w:tblW w:w="9067" w:type="dxa"/>
        <w:tblLook w:val="04A0" w:firstRow="1" w:lastRow="0" w:firstColumn="1" w:lastColumn="0" w:noHBand="0" w:noVBand="1"/>
      </w:tblPr>
      <w:tblGrid>
        <w:gridCol w:w="2816"/>
        <w:gridCol w:w="1273"/>
        <w:gridCol w:w="1511"/>
        <w:gridCol w:w="1541"/>
        <w:gridCol w:w="1541"/>
        <w:gridCol w:w="385"/>
      </w:tblGrid>
      <w:tr w:rsidR="00EF151F" w:rsidRPr="003130CD" w14:paraId="1BE192AF" w14:textId="24A1F5BA" w:rsidTr="008174FC">
        <w:trPr>
          <w:cnfStyle w:val="100000000000" w:firstRow="1" w:lastRow="0" w:firstColumn="0" w:lastColumn="0" w:oddVBand="0" w:evenVBand="0" w:oddHBand="0"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2816" w:type="dxa"/>
            <w:hideMark/>
          </w:tcPr>
          <w:p w14:paraId="5386EA3D" w14:textId="5655BEF5" w:rsidR="00EF151F" w:rsidRPr="00EF151F" w:rsidRDefault="00EF151F" w:rsidP="0043139B">
            <w:pPr>
              <w:pStyle w:val="Tabletext"/>
            </w:pPr>
            <w:r w:rsidRPr="00EF151F">
              <w:t>Evaluation process (subject to charging - ITP post 1 April 2019)</w:t>
            </w:r>
          </w:p>
        </w:tc>
        <w:tc>
          <w:tcPr>
            <w:tcW w:w="1273" w:type="dxa"/>
            <w:hideMark/>
          </w:tcPr>
          <w:p w14:paraId="79D50E75" w14:textId="1787AECE" w:rsidR="00EF151F" w:rsidRPr="00EF151F" w:rsidRDefault="00EF151F" w:rsidP="0043139B">
            <w:pPr>
              <w:pStyle w:val="Tabletext"/>
              <w:cnfStyle w:val="100000000000" w:firstRow="1" w:lastRow="0" w:firstColumn="0" w:lastColumn="0" w:oddVBand="0" w:evenVBand="0" w:oddHBand="0" w:evenHBand="0" w:firstRowFirstColumn="0" w:firstRowLastColumn="0" w:lastRowFirstColumn="0" w:lastRowLastColumn="0"/>
            </w:pPr>
            <w:r w:rsidRPr="00EF151F">
              <w:t>2020</w:t>
            </w:r>
            <w:r w:rsidR="007D111E">
              <w:t>/</w:t>
            </w:r>
            <w:r w:rsidRPr="00EF151F">
              <w:t>21</w:t>
            </w:r>
          </w:p>
        </w:tc>
        <w:tc>
          <w:tcPr>
            <w:tcW w:w="1511" w:type="dxa"/>
            <w:hideMark/>
          </w:tcPr>
          <w:p w14:paraId="7D9898B5" w14:textId="695FADAE" w:rsidR="00EF151F" w:rsidRPr="00EF151F" w:rsidRDefault="00EF151F" w:rsidP="0043139B">
            <w:pPr>
              <w:pStyle w:val="Tabletext"/>
              <w:cnfStyle w:val="100000000000" w:firstRow="1" w:lastRow="0" w:firstColumn="0" w:lastColumn="0" w:oddVBand="0" w:evenVBand="0" w:oddHBand="0" w:evenHBand="0" w:firstRowFirstColumn="0" w:firstRowLastColumn="0" w:lastRowFirstColumn="0" w:lastRowLastColumn="0"/>
            </w:pPr>
            <w:r w:rsidRPr="00EF151F">
              <w:t>2021</w:t>
            </w:r>
            <w:r w:rsidR="007D111E">
              <w:t>/</w:t>
            </w:r>
            <w:r w:rsidRPr="00EF151F">
              <w:t>22 (Apr 21 to Sep 21)</w:t>
            </w:r>
          </w:p>
        </w:tc>
        <w:tc>
          <w:tcPr>
            <w:tcW w:w="1541" w:type="dxa"/>
            <w:hideMark/>
          </w:tcPr>
          <w:p w14:paraId="622761D8" w14:textId="77777777" w:rsidR="00EF151F" w:rsidRPr="00EF151F" w:rsidRDefault="00EF151F" w:rsidP="0043139B">
            <w:pPr>
              <w:pStyle w:val="Tabletext"/>
              <w:cnfStyle w:val="100000000000" w:firstRow="1" w:lastRow="0" w:firstColumn="0" w:lastColumn="0" w:oddVBand="0" w:evenVBand="0" w:oddHBand="0" w:evenHBand="0" w:firstRowFirstColumn="0" w:firstRowLastColumn="0" w:lastRowFirstColumn="0" w:lastRowLastColumn="0"/>
            </w:pPr>
            <w:r w:rsidRPr="00EF151F">
              <w:t>Total number of publications</w:t>
            </w:r>
          </w:p>
        </w:tc>
        <w:tc>
          <w:tcPr>
            <w:tcW w:w="1541" w:type="dxa"/>
          </w:tcPr>
          <w:p w14:paraId="23CDA9F7" w14:textId="34860643" w:rsidR="00EF151F" w:rsidRPr="00EF151F" w:rsidRDefault="00EF151F" w:rsidP="0043139B">
            <w:pPr>
              <w:pStyle w:val="Tabletext"/>
              <w:cnfStyle w:val="100000000000" w:firstRow="1" w:lastRow="0" w:firstColumn="0" w:lastColumn="0" w:oddVBand="0" w:evenVBand="0" w:oddHBand="0" w:evenHBand="0" w:firstRowFirstColumn="0" w:firstRowLastColumn="0" w:lastRowFirstColumn="0" w:lastRowLastColumn="0"/>
            </w:pPr>
            <w:r w:rsidRPr="00EF151F">
              <w:t xml:space="preserve">Topics in progress </w:t>
            </w:r>
            <w:r>
              <w:t>on</w:t>
            </w:r>
            <w:r w:rsidRPr="00EF151F">
              <w:t xml:space="preserve"> 30 September 2021</w:t>
            </w:r>
          </w:p>
        </w:tc>
        <w:tc>
          <w:tcPr>
            <w:tcW w:w="385" w:type="dxa"/>
          </w:tcPr>
          <w:p w14:paraId="745CB23E" w14:textId="3197B37E" w:rsidR="00EF151F" w:rsidRPr="00EF151F" w:rsidRDefault="00EF151F" w:rsidP="00DA15D7">
            <w:pPr>
              <w:pStyle w:val="Tabletext"/>
              <w:cnfStyle w:val="100000000000" w:firstRow="1" w:lastRow="0" w:firstColumn="0" w:lastColumn="0" w:oddVBand="0" w:evenVBand="0" w:oddHBand="0" w:evenHBand="0" w:firstRowFirstColumn="0" w:firstRowLastColumn="0" w:lastRowFirstColumn="0" w:lastRowLastColumn="0"/>
            </w:pPr>
          </w:p>
        </w:tc>
      </w:tr>
      <w:tr w:rsidR="00EF151F" w:rsidRPr="003130CD" w14:paraId="51E814AC" w14:textId="77777777" w:rsidTr="008174F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16" w:type="dxa"/>
          </w:tcPr>
          <w:p w14:paraId="4C628C1F" w14:textId="58DD6749" w:rsidR="00EF151F" w:rsidRPr="00EF151F" w:rsidRDefault="00EF151F" w:rsidP="00DA15D7">
            <w:pPr>
              <w:pStyle w:val="Tabletext"/>
            </w:pPr>
            <w:r w:rsidRPr="00EF151F">
              <w:t>Single Technology Appraisal (STA)</w:t>
            </w:r>
          </w:p>
        </w:tc>
        <w:tc>
          <w:tcPr>
            <w:tcW w:w="1273" w:type="dxa"/>
          </w:tcPr>
          <w:p w14:paraId="7BA65208" w14:textId="40D03941"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28</w:t>
            </w:r>
          </w:p>
        </w:tc>
        <w:tc>
          <w:tcPr>
            <w:tcW w:w="1511" w:type="dxa"/>
          </w:tcPr>
          <w:p w14:paraId="36A5F5C4" w14:textId="0F31555F"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25</w:t>
            </w:r>
          </w:p>
        </w:tc>
        <w:tc>
          <w:tcPr>
            <w:tcW w:w="1541" w:type="dxa"/>
          </w:tcPr>
          <w:p w14:paraId="17D23998" w14:textId="72A4E06B"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53</w:t>
            </w:r>
          </w:p>
        </w:tc>
        <w:tc>
          <w:tcPr>
            <w:tcW w:w="1541" w:type="dxa"/>
          </w:tcPr>
          <w:p w14:paraId="76F84A71" w14:textId="3A4270F1"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88</w:t>
            </w:r>
          </w:p>
        </w:tc>
        <w:tc>
          <w:tcPr>
            <w:tcW w:w="385" w:type="dxa"/>
          </w:tcPr>
          <w:p w14:paraId="2E4CC32B" w14:textId="77777777"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p>
        </w:tc>
      </w:tr>
      <w:tr w:rsidR="00EF151F" w:rsidRPr="003130CD" w14:paraId="6684068A" w14:textId="232EDC4D" w:rsidTr="008174FC">
        <w:trPr>
          <w:trHeight w:val="505"/>
        </w:trPr>
        <w:tc>
          <w:tcPr>
            <w:cnfStyle w:val="001000000000" w:firstRow="0" w:lastRow="0" w:firstColumn="1" w:lastColumn="0" w:oddVBand="0" w:evenVBand="0" w:oddHBand="0" w:evenHBand="0" w:firstRowFirstColumn="0" w:firstRowLastColumn="0" w:lastRowFirstColumn="0" w:lastRowLastColumn="0"/>
            <w:tcW w:w="2816" w:type="dxa"/>
            <w:hideMark/>
          </w:tcPr>
          <w:p w14:paraId="37C4F6AD" w14:textId="77777777" w:rsidR="00EF151F" w:rsidRPr="00EF151F" w:rsidRDefault="00EF151F" w:rsidP="00DA15D7">
            <w:pPr>
              <w:pStyle w:val="Tabletext"/>
            </w:pPr>
            <w:r w:rsidRPr="00EF151F">
              <w:t>Cancer Drug Fund (CDF) Reviews</w:t>
            </w:r>
          </w:p>
        </w:tc>
        <w:tc>
          <w:tcPr>
            <w:tcW w:w="1273" w:type="dxa"/>
            <w:hideMark/>
          </w:tcPr>
          <w:p w14:paraId="1A38200B"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6</w:t>
            </w:r>
          </w:p>
        </w:tc>
        <w:tc>
          <w:tcPr>
            <w:tcW w:w="1511" w:type="dxa"/>
            <w:hideMark/>
          </w:tcPr>
          <w:p w14:paraId="76320DA0"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4</w:t>
            </w:r>
          </w:p>
        </w:tc>
        <w:tc>
          <w:tcPr>
            <w:tcW w:w="1541" w:type="dxa"/>
            <w:hideMark/>
          </w:tcPr>
          <w:p w14:paraId="7941A5D6"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10</w:t>
            </w:r>
          </w:p>
        </w:tc>
        <w:tc>
          <w:tcPr>
            <w:tcW w:w="1541" w:type="dxa"/>
          </w:tcPr>
          <w:p w14:paraId="66B52D1D" w14:textId="73AFF9C8"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9</w:t>
            </w:r>
          </w:p>
        </w:tc>
        <w:tc>
          <w:tcPr>
            <w:tcW w:w="385" w:type="dxa"/>
          </w:tcPr>
          <w:p w14:paraId="57C63F7A" w14:textId="23FE1D42"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p>
        </w:tc>
      </w:tr>
      <w:tr w:rsidR="00EF151F" w:rsidRPr="003130CD" w14:paraId="20929DB5" w14:textId="6B7E0C6D" w:rsidTr="008174F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816" w:type="dxa"/>
            <w:hideMark/>
          </w:tcPr>
          <w:p w14:paraId="71FBC973" w14:textId="77777777" w:rsidR="00EF151F" w:rsidRPr="00EF151F" w:rsidRDefault="00EF151F" w:rsidP="00DA15D7">
            <w:pPr>
              <w:pStyle w:val="Tabletext"/>
            </w:pPr>
            <w:r w:rsidRPr="00EF151F">
              <w:t>Fast Track Appraisals (FTA)</w:t>
            </w:r>
          </w:p>
        </w:tc>
        <w:tc>
          <w:tcPr>
            <w:tcW w:w="1273" w:type="dxa"/>
            <w:hideMark/>
          </w:tcPr>
          <w:p w14:paraId="636C4181" w14:textId="77777777"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2</w:t>
            </w:r>
          </w:p>
        </w:tc>
        <w:tc>
          <w:tcPr>
            <w:tcW w:w="1511" w:type="dxa"/>
            <w:hideMark/>
          </w:tcPr>
          <w:p w14:paraId="4B19CE1A" w14:textId="77777777"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1</w:t>
            </w:r>
          </w:p>
        </w:tc>
        <w:tc>
          <w:tcPr>
            <w:tcW w:w="1541" w:type="dxa"/>
            <w:hideMark/>
          </w:tcPr>
          <w:p w14:paraId="380485ED" w14:textId="77777777"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3</w:t>
            </w:r>
          </w:p>
        </w:tc>
        <w:tc>
          <w:tcPr>
            <w:tcW w:w="1541" w:type="dxa"/>
          </w:tcPr>
          <w:p w14:paraId="7A089379" w14:textId="410E6C36"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2</w:t>
            </w:r>
          </w:p>
        </w:tc>
        <w:tc>
          <w:tcPr>
            <w:tcW w:w="385" w:type="dxa"/>
          </w:tcPr>
          <w:p w14:paraId="5DAF9B05" w14:textId="4F909DF5"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p>
        </w:tc>
      </w:tr>
      <w:tr w:rsidR="00EF151F" w:rsidRPr="003130CD" w14:paraId="08E00CB7" w14:textId="34DAFE89" w:rsidTr="008174FC">
        <w:trPr>
          <w:trHeight w:val="505"/>
        </w:trPr>
        <w:tc>
          <w:tcPr>
            <w:cnfStyle w:val="001000000000" w:firstRow="0" w:lastRow="0" w:firstColumn="1" w:lastColumn="0" w:oddVBand="0" w:evenVBand="0" w:oddHBand="0" w:evenHBand="0" w:firstRowFirstColumn="0" w:firstRowLastColumn="0" w:lastRowFirstColumn="0" w:lastRowLastColumn="0"/>
            <w:tcW w:w="2816" w:type="dxa"/>
            <w:hideMark/>
          </w:tcPr>
          <w:p w14:paraId="33B8DC9B" w14:textId="77777777" w:rsidR="00EF151F" w:rsidRPr="00EF151F" w:rsidRDefault="00EF151F" w:rsidP="00DA15D7">
            <w:pPr>
              <w:pStyle w:val="Tabletext"/>
            </w:pPr>
            <w:r w:rsidRPr="00EF151F">
              <w:t>Highly Specialised Technologies (HST)</w:t>
            </w:r>
          </w:p>
        </w:tc>
        <w:tc>
          <w:tcPr>
            <w:tcW w:w="1273" w:type="dxa"/>
            <w:hideMark/>
          </w:tcPr>
          <w:p w14:paraId="55F3F475"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1</w:t>
            </w:r>
          </w:p>
        </w:tc>
        <w:tc>
          <w:tcPr>
            <w:tcW w:w="1511" w:type="dxa"/>
            <w:hideMark/>
          </w:tcPr>
          <w:p w14:paraId="0AF617A8"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1</w:t>
            </w:r>
          </w:p>
        </w:tc>
        <w:tc>
          <w:tcPr>
            <w:tcW w:w="1541" w:type="dxa"/>
            <w:hideMark/>
          </w:tcPr>
          <w:p w14:paraId="1DF631C5"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2</w:t>
            </w:r>
          </w:p>
        </w:tc>
        <w:tc>
          <w:tcPr>
            <w:tcW w:w="1541" w:type="dxa"/>
          </w:tcPr>
          <w:p w14:paraId="62F0A6D6" w14:textId="615A2583"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6</w:t>
            </w:r>
          </w:p>
        </w:tc>
        <w:tc>
          <w:tcPr>
            <w:tcW w:w="385" w:type="dxa"/>
          </w:tcPr>
          <w:p w14:paraId="5063A0F0" w14:textId="360E7022"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p>
        </w:tc>
      </w:tr>
      <w:tr w:rsidR="00EF151F" w:rsidRPr="003130CD" w14:paraId="2B38E3DD" w14:textId="192208DB" w:rsidTr="008174F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16" w:type="dxa"/>
            <w:hideMark/>
          </w:tcPr>
          <w:p w14:paraId="16547A29" w14:textId="77777777" w:rsidR="00EF151F" w:rsidRPr="00EF151F" w:rsidRDefault="00EF151F" w:rsidP="00DA15D7">
            <w:pPr>
              <w:pStyle w:val="Tabletext"/>
            </w:pPr>
            <w:r w:rsidRPr="00EF151F">
              <w:t>Multiple Technology Appraisal (MTA)</w:t>
            </w:r>
          </w:p>
        </w:tc>
        <w:tc>
          <w:tcPr>
            <w:tcW w:w="1273" w:type="dxa"/>
            <w:hideMark/>
          </w:tcPr>
          <w:p w14:paraId="41DF3AC8" w14:textId="77777777"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0</w:t>
            </w:r>
          </w:p>
        </w:tc>
        <w:tc>
          <w:tcPr>
            <w:tcW w:w="1511" w:type="dxa"/>
            <w:hideMark/>
          </w:tcPr>
          <w:p w14:paraId="2BDED3DD" w14:textId="77777777"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1</w:t>
            </w:r>
          </w:p>
        </w:tc>
        <w:tc>
          <w:tcPr>
            <w:tcW w:w="1541" w:type="dxa"/>
            <w:hideMark/>
          </w:tcPr>
          <w:p w14:paraId="1E728A85" w14:textId="77777777"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1</w:t>
            </w:r>
          </w:p>
        </w:tc>
        <w:tc>
          <w:tcPr>
            <w:tcW w:w="1541" w:type="dxa"/>
          </w:tcPr>
          <w:p w14:paraId="591EB791" w14:textId="5A5E00E2"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1</w:t>
            </w:r>
          </w:p>
        </w:tc>
        <w:tc>
          <w:tcPr>
            <w:tcW w:w="385" w:type="dxa"/>
          </w:tcPr>
          <w:p w14:paraId="49BA8217" w14:textId="453D3B74"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p>
        </w:tc>
      </w:tr>
      <w:tr w:rsidR="00EF151F" w:rsidRPr="003130CD" w14:paraId="3AA427F8" w14:textId="131D7F9B" w:rsidTr="008174FC">
        <w:trPr>
          <w:trHeight w:val="412"/>
        </w:trPr>
        <w:tc>
          <w:tcPr>
            <w:cnfStyle w:val="001000000000" w:firstRow="0" w:lastRow="0" w:firstColumn="1" w:lastColumn="0" w:oddVBand="0" w:evenVBand="0" w:oddHBand="0" w:evenHBand="0" w:firstRowFirstColumn="0" w:firstRowLastColumn="0" w:lastRowFirstColumn="0" w:lastRowLastColumn="0"/>
            <w:tcW w:w="2816" w:type="dxa"/>
            <w:hideMark/>
          </w:tcPr>
          <w:p w14:paraId="408A5D11" w14:textId="77777777" w:rsidR="00EF151F" w:rsidRPr="00EF151F" w:rsidRDefault="00EF151F" w:rsidP="00DA15D7">
            <w:pPr>
              <w:pStyle w:val="Tabletext"/>
            </w:pPr>
            <w:r w:rsidRPr="00EF151F">
              <w:t>Rapid Review</w:t>
            </w:r>
          </w:p>
        </w:tc>
        <w:tc>
          <w:tcPr>
            <w:tcW w:w="1273" w:type="dxa"/>
            <w:hideMark/>
          </w:tcPr>
          <w:p w14:paraId="17212F78"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1</w:t>
            </w:r>
          </w:p>
        </w:tc>
        <w:tc>
          <w:tcPr>
            <w:tcW w:w="1511" w:type="dxa"/>
            <w:hideMark/>
          </w:tcPr>
          <w:p w14:paraId="6F26BD59"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0</w:t>
            </w:r>
          </w:p>
        </w:tc>
        <w:tc>
          <w:tcPr>
            <w:tcW w:w="1541" w:type="dxa"/>
            <w:hideMark/>
          </w:tcPr>
          <w:p w14:paraId="3C3AE65C" w14:textId="77777777"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1</w:t>
            </w:r>
          </w:p>
        </w:tc>
        <w:tc>
          <w:tcPr>
            <w:tcW w:w="1541" w:type="dxa"/>
          </w:tcPr>
          <w:p w14:paraId="499E9894" w14:textId="6354C653"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r w:rsidRPr="00EF151F">
              <w:t>1</w:t>
            </w:r>
          </w:p>
        </w:tc>
        <w:tc>
          <w:tcPr>
            <w:tcW w:w="385" w:type="dxa"/>
          </w:tcPr>
          <w:p w14:paraId="6DB50937" w14:textId="0A751B22" w:rsidR="00EF151F" w:rsidRPr="00EF151F" w:rsidRDefault="00EF151F" w:rsidP="00DA15D7">
            <w:pPr>
              <w:pStyle w:val="Tabletext"/>
              <w:cnfStyle w:val="000000000000" w:firstRow="0" w:lastRow="0" w:firstColumn="0" w:lastColumn="0" w:oddVBand="0" w:evenVBand="0" w:oddHBand="0" w:evenHBand="0" w:firstRowFirstColumn="0" w:firstRowLastColumn="0" w:lastRowFirstColumn="0" w:lastRowLastColumn="0"/>
            </w:pPr>
          </w:p>
        </w:tc>
      </w:tr>
      <w:tr w:rsidR="00EF151F" w:rsidRPr="003130CD" w14:paraId="79E8AA4A" w14:textId="6465D2EA" w:rsidTr="008174F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816" w:type="dxa"/>
            <w:hideMark/>
          </w:tcPr>
          <w:p w14:paraId="2BA434CA" w14:textId="77777777" w:rsidR="00EF151F" w:rsidRPr="00EF151F" w:rsidRDefault="00EF151F" w:rsidP="0043139B">
            <w:pPr>
              <w:pStyle w:val="Tabletext"/>
            </w:pPr>
            <w:r w:rsidRPr="00EF151F">
              <w:t>Total</w:t>
            </w:r>
          </w:p>
        </w:tc>
        <w:tc>
          <w:tcPr>
            <w:tcW w:w="1273" w:type="dxa"/>
            <w:hideMark/>
          </w:tcPr>
          <w:p w14:paraId="5589E22D" w14:textId="77777777" w:rsidR="00EF151F" w:rsidRPr="00EF151F" w:rsidRDefault="00EF151F" w:rsidP="0043139B">
            <w:pPr>
              <w:pStyle w:val="Tabletext"/>
              <w:cnfStyle w:val="000000100000" w:firstRow="0" w:lastRow="0" w:firstColumn="0" w:lastColumn="0" w:oddVBand="0" w:evenVBand="0" w:oddHBand="1" w:evenHBand="0" w:firstRowFirstColumn="0" w:firstRowLastColumn="0" w:lastRowFirstColumn="0" w:lastRowLastColumn="0"/>
            </w:pPr>
            <w:r w:rsidRPr="00EF151F">
              <w:t>38</w:t>
            </w:r>
          </w:p>
        </w:tc>
        <w:tc>
          <w:tcPr>
            <w:tcW w:w="1511" w:type="dxa"/>
            <w:hideMark/>
          </w:tcPr>
          <w:p w14:paraId="25B6CC6A" w14:textId="77777777" w:rsidR="00EF151F" w:rsidRPr="00EF151F" w:rsidRDefault="00EF151F" w:rsidP="0043139B">
            <w:pPr>
              <w:pStyle w:val="Tabletext"/>
              <w:cnfStyle w:val="000000100000" w:firstRow="0" w:lastRow="0" w:firstColumn="0" w:lastColumn="0" w:oddVBand="0" w:evenVBand="0" w:oddHBand="1" w:evenHBand="0" w:firstRowFirstColumn="0" w:firstRowLastColumn="0" w:lastRowFirstColumn="0" w:lastRowLastColumn="0"/>
            </w:pPr>
            <w:r w:rsidRPr="00EF151F">
              <w:t>32</w:t>
            </w:r>
          </w:p>
        </w:tc>
        <w:tc>
          <w:tcPr>
            <w:tcW w:w="1541" w:type="dxa"/>
            <w:hideMark/>
          </w:tcPr>
          <w:p w14:paraId="70CCBFD8" w14:textId="77777777" w:rsidR="00EF151F" w:rsidRPr="00EF151F" w:rsidRDefault="00EF151F" w:rsidP="0043139B">
            <w:pPr>
              <w:pStyle w:val="Tabletext"/>
              <w:cnfStyle w:val="000000100000" w:firstRow="0" w:lastRow="0" w:firstColumn="0" w:lastColumn="0" w:oddVBand="0" w:evenVBand="0" w:oddHBand="1" w:evenHBand="0" w:firstRowFirstColumn="0" w:firstRowLastColumn="0" w:lastRowFirstColumn="0" w:lastRowLastColumn="0"/>
            </w:pPr>
            <w:r w:rsidRPr="00EF151F">
              <w:t>70</w:t>
            </w:r>
          </w:p>
        </w:tc>
        <w:tc>
          <w:tcPr>
            <w:tcW w:w="1541" w:type="dxa"/>
          </w:tcPr>
          <w:p w14:paraId="68C2C4DB" w14:textId="05C4511C"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r w:rsidRPr="00EF151F">
              <w:t>107</w:t>
            </w:r>
          </w:p>
        </w:tc>
        <w:tc>
          <w:tcPr>
            <w:tcW w:w="385" w:type="dxa"/>
          </w:tcPr>
          <w:p w14:paraId="3159536B" w14:textId="59067BA8" w:rsidR="00EF151F" w:rsidRPr="00EF151F" w:rsidRDefault="00EF151F" w:rsidP="00DA15D7">
            <w:pPr>
              <w:pStyle w:val="Tabletext"/>
              <w:cnfStyle w:val="000000100000" w:firstRow="0" w:lastRow="0" w:firstColumn="0" w:lastColumn="0" w:oddVBand="0" w:evenVBand="0" w:oddHBand="1" w:evenHBand="0" w:firstRowFirstColumn="0" w:firstRowLastColumn="0" w:lastRowFirstColumn="0" w:lastRowLastColumn="0"/>
            </w:pPr>
          </w:p>
        </w:tc>
      </w:tr>
    </w:tbl>
    <w:p w14:paraId="0519A9BC" w14:textId="77777777" w:rsidR="001C3944" w:rsidRPr="001C3944" w:rsidRDefault="001C3944" w:rsidP="001C3944"/>
    <w:p w14:paraId="25C020EB" w14:textId="62CFDD95" w:rsidR="005F1A80" w:rsidRPr="001C3944" w:rsidRDefault="005F1A80" w:rsidP="001C3944"/>
    <w:p w14:paraId="387B6616" w14:textId="33EA935B" w:rsidR="001C3944" w:rsidRDefault="001C3944" w:rsidP="001C3944">
      <w:pPr>
        <w:pStyle w:val="NICEnormalnumbered"/>
      </w:pPr>
      <w:r w:rsidRPr="001C3944">
        <w:t>The total number of publications subject to charging and the number of publications that have not been charged for are shown below (terminated guidance is excluded from the publication numbers). Note that the 2021</w:t>
      </w:r>
      <w:r w:rsidR="007D111E">
        <w:t>/</w:t>
      </w:r>
      <w:r w:rsidRPr="001C3944">
        <w:t xml:space="preserve">22 </w:t>
      </w:r>
      <w:r w:rsidR="00A0233F">
        <w:t>publication information is</w:t>
      </w:r>
      <w:r w:rsidRPr="001C3944">
        <w:t xml:space="preserve"> to </w:t>
      </w:r>
      <w:r w:rsidR="00A20012">
        <w:t>30</w:t>
      </w:r>
      <w:r w:rsidRPr="001C3944">
        <w:t xml:space="preserve"> September 2021</w:t>
      </w:r>
      <w:r w:rsidR="00A20012">
        <w:t xml:space="preserve"> (6 months)</w:t>
      </w:r>
      <w:r w:rsidRPr="001C3944">
        <w:t xml:space="preserve">. </w:t>
      </w:r>
    </w:p>
    <w:p w14:paraId="37E8D1BD" w14:textId="68AF1C85" w:rsidR="001C3944" w:rsidRDefault="00883C6D" w:rsidP="001C3944">
      <w:pPr>
        <w:pStyle w:val="NICEnormalnumbered"/>
        <w:numPr>
          <w:ilvl w:val="0"/>
          <w:numId w:val="0"/>
        </w:numPr>
        <w:ind w:left="284"/>
      </w:pPr>
      <w:r w:rsidRPr="00883C6D">
        <w:rPr>
          <w:noProof/>
        </w:rPr>
        <w:drawing>
          <wp:inline distT="0" distB="0" distL="0" distR="0" wp14:anchorId="20E5FC7A" wp14:editId="034B76B3">
            <wp:extent cx="4572000" cy="2743200"/>
            <wp:effectExtent l="0" t="0" r="0" b="0"/>
            <wp:docPr id="1" name="Chart 1" descr="Chart showing the total number of non-charged and charged for publications to end of September 2021. ">
              <a:extLst xmlns:a="http://schemas.openxmlformats.org/drawingml/2006/main">
                <a:ext uri="{FF2B5EF4-FFF2-40B4-BE49-F238E27FC236}">
                  <a16:creationId xmlns:a16="http://schemas.microsoft.com/office/drawing/2014/main" id="{C01F96D8-9377-4C66-AC28-41CCF88A4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592AB5" w14:textId="7699C8C7" w:rsidR="001C3944" w:rsidRDefault="001C3944" w:rsidP="001C3944">
      <w:pPr>
        <w:pStyle w:val="NICEnormalnumbered"/>
      </w:pPr>
      <w:r w:rsidRPr="00E92D97">
        <w:t>For the evaluations that remain in progress, the outstanding income to be recognised is deferred until the</w:t>
      </w:r>
      <w:r w:rsidR="00E94BAB">
        <w:t>y</w:t>
      </w:r>
      <w:r w:rsidRPr="00E92D97">
        <w:t xml:space="preserve"> reach a key milestone</w:t>
      </w:r>
      <w:r>
        <w:t>.</w:t>
      </w:r>
    </w:p>
    <w:p w14:paraId="36A0EDE7" w14:textId="5498E53B" w:rsidR="00451003" w:rsidRPr="00451003" w:rsidRDefault="001C3944" w:rsidP="00451003">
      <w:pPr>
        <w:pStyle w:val="Caption"/>
      </w:pPr>
      <w:r>
        <w:lastRenderedPageBreak/>
        <w:t xml:space="preserve">Table </w:t>
      </w:r>
      <w:r w:rsidR="00EF151F">
        <w:t>4</w:t>
      </w:r>
      <w:r>
        <w:t xml:space="preserve"> - key milestones and weightings</w:t>
      </w:r>
    </w:p>
    <w:tbl>
      <w:tblPr>
        <w:tblStyle w:val="PlainTable1"/>
        <w:tblW w:w="5524" w:type="dxa"/>
        <w:tblLook w:val="04A0" w:firstRow="1" w:lastRow="0" w:firstColumn="1" w:lastColumn="0" w:noHBand="0" w:noVBand="1"/>
      </w:tblPr>
      <w:tblGrid>
        <w:gridCol w:w="2405"/>
        <w:gridCol w:w="1559"/>
        <w:gridCol w:w="1560"/>
      </w:tblGrid>
      <w:tr w:rsidR="00045EA1" w:rsidRPr="00451003" w14:paraId="5A418A82" w14:textId="77777777" w:rsidTr="008174FC">
        <w:trPr>
          <w:cnfStyle w:val="100000000000" w:firstRow="1" w:lastRow="0" w:firstColumn="0" w:lastColumn="0" w:oddVBand="0" w:evenVBand="0" w:oddHBand="0" w:evenHBand="0" w:firstRowFirstColumn="0" w:firstRowLastColumn="0" w:lastRowFirstColumn="0" w:lastRowLastColumn="0"/>
          <w:trHeight w:val="1532"/>
        </w:trPr>
        <w:tc>
          <w:tcPr>
            <w:cnfStyle w:val="001000000000" w:firstRow="0" w:lastRow="0" w:firstColumn="1" w:lastColumn="0" w:oddVBand="0" w:evenVBand="0" w:oddHBand="0" w:evenHBand="0" w:firstRowFirstColumn="0" w:firstRowLastColumn="0" w:lastRowFirstColumn="0" w:lastRowLastColumn="0"/>
            <w:tcW w:w="2405" w:type="dxa"/>
            <w:hideMark/>
          </w:tcPr>
          <w:p w14:paraId="02EF477D" w14:textId="45966B58" w:rsidR="00045EA1" w:rsidRPr="00451003" w:rsidRDefault="00045EA1" w:rsidP="008174FC">
            <w:pPr>
              <w:pStyle w:val="Tableheadingboardreport"/>
              <w:rPr>
                <w:b/>
                <w:bCs w:val="0"/>
                <w:lang w:eastAsia="en-GB"/>
              </w:rPr>
            </w:pPr>
            <w:r w:rsidRPr="00451003">
              <w:rPr>
                <w:b/>
                <w:lang w:eastAsia="en-GB"/>
              </w:rPr>
              <w:t>Key Milestones</w:t>
            </w:r>
          </w:p>
        </w:tc>
        <w:tc>
          <w:tcPr>
            <w:tcW w:w="1559" w:type="dxa"/>
            <w:hideMark/>
          </w:tcPr>
          <w:p w14:paraId="30963EC2" w14:textId="77777777" w:rsidR="00045EA1" w:rsidRPr="00451003" w:rsidRDefault="00045EA1"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451003">
              <w:rPr>
                <w:b/>
                <w:lang w:eastAsia="en-GB"/>
              </w:rPr>
              <w:t>Weightings for Key Milestone (%)</w:t>
            </w:r>
          </w:p>
        </w:tc>
        <w:tc>
          <w:tcPr>
            <w:tcW w:w="1560" w:type="dxa"/>
            <w:hideMark/>
          </w:tcPr>
          <w:p w14:paraId="0EF262BC" w14:textId="77777777" w:rsidR="00045EA1" w:rsidRPr="00451003" w:rsidRDefault="00045EA1"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451003">
              <w:rPr>
                <w:b/>
                <w:lang w:eastAsia="en-GB"/>
              </w:rPr>
              <w:t>Cumulative Weightings - Income to be Recognised (%)</w:t>
            </w:r>
          </w:p>
        </w:tc>
      </w:tr>
      <w:tr w:rsidR="00045EA1" w:rsidRPr="00451003" w14:paraId="23C35C56" w14:textId="77777777" w:rsidTr="008174F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5" w:type="dxa"/>
            <w:hideMark/>
          </w:tcPr>
          <w:p w14:paraId="1F6B9171" w14:textId="77777777" w:rsidR="00045EA1" w:rsidRPr="00451003" w:rsidRDefault="00045EA1" w:rsidP="00451003">
            <w:pPr>
              <w:rPr>
                <w:rFonts w:ascii="Arial" w:hAnsi="Arial" w:cs="Arial"/>
                <w:color w:val="000000"/>
                <w:sz w:val="20"/>
                <w:szCs w:val="20"/>
                <w:lang w:eastAsia="en-GB"/>
              </w:rPr>
            </w:pPr>
            <w:r w:rsidRPr="00451003">
              <w:rPr>
                <w:rFonts w:ascii="Arial" w:hAnsi="Arial" w:cs="Arial"/>
                <w:color w:val="000000"/>
                <w:sz w:val="20"/>
                <w:szCs w:val="20"/>
                <w:lang w:eastAsia="en-GB"/>
              </w:rPr>
              <w:t>ITP</w:t>
            </w:r>
          </w:p>
        </w:tc>
        <w:tc>
          <w:tcPr>
            <w:tcW w:w="1559" w:type="dxa"/>
            <w:hideMark/>
          </w:tcPr>
          <w:p w14:paraId="7CB76B52"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5%</w:t>
            </w:r>
          </w:p>
        </w:tc>
        <w:tc>
          <w:tcPr>
            <w:tcW w:w="1560" w:type="dxa"/>
            <w:hideMark/>
          </w:tcPr>
          <w:p w14:paraId="239D2FBD"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5%</w:t>
            </w:r>
          </w:p>
        </w:tc>
      </w:tr>
      <w:tr w:rsidR="00045EA1" w:rsidRPr="00451003" w14:paraId="5112777A" w14:textId="77777777" w:rsidTr="008174FC">
        <w:trPr>
          <w:trHeight w:val="383"/>
        </w:trPr>
        <w:tc>
          <w:tcPr>
            <w:cnfStyle w:val="001000000000" w:firstRow="0" w:lastRow="0" w:firstColumn="1" w:lastColumn="0" w:oddVBand="0" w:evenVBand="0" w:oddHBand="0" w:evenHBand="0" w:firstRowFirstColumn="0" w:firstRowLastColumn="0" w:lastRowFirstColumn="0" w:lastRowLastColumn="0"/>
            <w:tcW w:w="2405" w:type="dxa"/>
            <w:hideMark/>
          </w:tcPr>
          <w:p w14:paraId="18BA14B4" w14:textId="77777777" w:rsidR="00045EA1" w:rsidRPr="00451003" w:rsidRDefault="00045EA1" w:rsidP="00451003">
            <w:pPr>
              <w:rPr>
                <w:rFonts w:ascii="Arial" w:hAnsi="Arial" w:cs="Arial"/>
                <w:color w:val="000000"/>
                <w:sz w:val="20"/>
                <w:szCs w:val="20"/>
                <w:lang w:eastAsia="en-GB"/>
              </w:rPr>
            </w:pPr>
            <w:r w:rsidRPr="00451003">
              <w:rPr>
                <w:rFonts w:ascii="Arial" w:hAnsi="Arial" w:cs="Arial"/>
                <w:color w:val="000000"/>
                <w:sz w:val="20"/>
                <w:szCs w:val="20"/>
                <w:lang w:eastAsia="en-GB"/>
              </w:rPr>
              <w:t>Evidence Submission</w:t>
            </w:r>
          </w:p>
        </w:tc>
        <w:tc>
          <w:tcPr>
            <w:tcW w:w="1559" w:type="dxa"/>
            <w:hideMark/>
          </w:tcPr>
          <w:p w14:paraId="35B8FF7A" w14:textId="77777777" w:rsidR="00045EA1" w:rsidRPr="00451003" w:rsidRDefault="00045EA1" w:rsidP="0045100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10%</w:t>
            </w:r>
          </w:p>
        </w:tc>
        <w:tc>
          <w:tcPr>
            <w:tcW w:w="1560" w:type="dxa"/>
            <w:hideMark/>
          </w:tcPr>
          <w:p w14:paraId="152DCD1B" w14:textId="77777777" w:rsidR="00045EA1" w:rsidRPr="00451003" w:rsidRDefault="00045EA1" w:rsidP="0045100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15%</w:t>
            </w:r>
          </w:p>
        </w:tc>
      </w:tr>
      <w:tr w:rsidR="00045EA1" w:rsidRPr="00451003" w14:paraId="70869AB1" w14:textId="77777777" w:rsidTr="008174FC">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05" w:type="dxa"/>
            <w:hideMark/>
          </w:tcPr>
          <w:p w14:paraId="4C7E52E5" w14:textId="77777777" w:rsidR="00045EA1" w:rsidRPr="00451003" w:rsidRDefault="00045EA1" w:rsidP="00451003">
            <w:pPr>
              <w:rPr>
                <w:rFonts w:ascii="Arial" w:hAnsi="Arial" w:cs="Arial"/>
                <w:color w:val="000000"/>
                <w:sz w:val="20"/>
                <w:szCs w:val="20"/>
                <w:lang w:eastAsia="en-GB"/>
              </w:rPr>
            </w:pPr>
            <w:r w:rsidRPr="00451003">
              <w:rPr>
                <w:rFonts w:ascii="Arial" w:hAnsi="Arial" w:cs="Arial"/>
                <w:color w:val="000000"/>
                <w:sz w:val="20"/>
                <w:szCs w:val="20"/>
                <w:lang w:eastAsia="en-GB"/>
              </w:rPr>
              <w:t>ERG Report Deadline</w:t>
            </w:r>
          </w:p>
        </w:tc>
        <w:tc>
          <w:tcPr>
            <w:tcW w:w="1559" w:type="dxa"/>
            <w:hideMark/>
          </w:tcPr>
          <w:p w14:paraId="253EF149"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10%</w:t>
            </w:r>
          </w:p>
        </w:tc>
        <w:tc>
          <w:tcPr>
            <w:tcW w:w="1560" w:type="dxa"/>
            <w:hideMark/>
          </w:tcPr>
          <w:p w14:paraId="7ABB4C0B"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25%</w:t>
            </w:r>
          </w:p>
        </w:tc>
      </w:tr>
      <w:tr w:rsidR="00045EA1" w:rsidRPr="00451003" w14:paraId="1FA170CE" w14:textId="77777777" w:rsidTr="008174FC">
        <w:trPr>
          <w:trHeight w:val="383"/>
        </w:trPr>
        <w:tc>
          <w:tcPr>
            <w:cnfStyle w:val="001000000000" w:firstRow="0" w:lastRow="0" w:firstColumn="1" w:lastColumn="0" w:oddVBand="0" w:evenVBand="0" w:oddHBand="0" w:evenHBand="0" w:firstRowFirstColumn="0" w:firstRowLastColumn="0" w:lastRowFirstColumn="0" w:lastRowLastColumn="0"/>
            <w:tcW w:w="2405" w:type="dxa"/>
            <w:hideMark/>
          </w:tcPr>
          <w:p w14:paraId="76E961B9" w14:textId="77777777" w:rsidR="00045EA1" w:rsidRPr="00451003" w:rsidRDefault="00045EA1" w:rsidP="00451003">
            <w:pPr>
              <w:rPr>
                <w:rFonts w:ascii="Arial" w:hAnsi="Arial" w:cs="Arial"/>
                <w:color w:val="000000"/>
                <w:sz w:val="20"/>
                <w:szCs w:val="20"/>
                <w:lang w:eastAsia="en-GB"/>
              </w:rPr>
            </w:pPr>
            <w:r w:rsidRPr="00451003">
              <w:rPr>
                <w:rFonts w:ascii="Arial" w:hAnsi="Arial" w:cs="Arial"/>
                <w:color w:val="000000"/>
                <w:sz w:val="20"/>
                <w:szCs w:val="20"/>
                <w:lang w:eastAsia="en-GB"/>
              </w:rPr>
              <w:t>Technical Engagement</w:t>
            </w:r>
          </w:p>
        </w:tc>
        <w:tc>
          <w:tcPr>
            <w:tcW w:w="1559" w:type="dxa"/>
            <w:hideMark/>
          </w:tcPr>
          <w:p w14:paraId="7256E5EC" w14:textId="77777777" w:rsidR="00045EA1" w:rsidRPr="00451003" w:rsidRDefault="00045EA1" w:rsidP="0045100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35%</w:t>
            </w:r>
          </w:p>
        </w:tc>
        <w:tc>
          <w:tcPr>
            <w:tcW w:w="1560" w:type="dxa"/>
            <w:hideMark/>
          </w:tcPr>
          <w:p w14:paraId="0ABF8859" w14:textId="77777777" w:rsidR="00045EA1" w:rsidRPr="00451003" w:rsidRDefault="00045EA1" w:rsidP="0045100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60%</w:t>
            </w:r>
          </w:p>
        </w:tc>
      </w:tr>
      <w:tr w:rsidR="00045EA1" w:rsidRPr="00451003" w14:paraId="7BB5F4C0" w14:textId="77777777" w:rsidTr="008174FC">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05" w:type="dxa"/>
            <w:hideMark/>
          </w:tcPr>
          <w:p w14:paraId="0F715E7D" w14:textId="77777777" w:rsidR="00045EA1" w:rsidRPr="00451003" w:rsidRDefault="00045EA1" w:rsidP="00451003">
            <w:pPr>
              <w:rPr>
                <w:rFonts w:ascii="Arial" w:hAnsi="Arial" w:cs="Arial"/>
                <w:color w:val="000000"/>
                <w:sz w:val="20"/>
                <w:szCs w:val="20"/>
                <w:lang w:eastAsia="en-GB"/>
              </w:rPr>
            </w:pPr>
            <w:r w:rsidRPr="00451003">
              <w:rPr>
                <w:rFonts w:ascii="Arial" w:hAnsi="Arial" w:cs="Arial"/>
                <w:color w:val="000000"/>
                <w:sz w:val="20"/>
                <w:szCs w:val="20"/>
                <w:lang w:eastAsia="en-GB"/>
              </w:rPr>
              <w:t>1st Committee Meeting</w:t>
            </w:r>
          </w:p>
        </w:tc>
        <w:tc>
          <w:tcPr>
            <w:tcW w:w="1559" w:type="dxa"/>
            <w:hideMark/>
          </w:tcPr>
          <w:p w14:paraId="0B42981D"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25%</w:t>
            </w:r>
          </w:p>
        </w:tc>
        <w:tc>
          <w:tcPr>
            <w:tcW w:w="1560" w:type="dxa"/>
            <w:hideMark/>
          </w:tcPr>
          <w:p w14:paraId="14D23494"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85%</w:t>
            </w:r>
          </w:p>
        </w:tc>
      </w:tr>
      <w:tr w:rsidR="00045EA1" w:rsidRPr="00451003" w14:paraId="0EA828E7" w14:textId="77777777" w:rsidTr="008174FC">
        <w:trPr>
          <w:trHeight w:val="383"/>
        </w:trPr>
        <w:tc>
          <w:tcPr>
            <w:cnfStyle w:val="001000000000" w:firstRow="0" w:lastRow="0" w:firstColumn="1" w:lastColumn="0" w:oddVBand="0" w:evenVBand="0" w:oddHBand="0" w:evenHBand="0" w:firstRowFirstColumn="0" w:firstRowLastColumn="0" w:lastRowFirstColumn="0" w:lastRowLastColumn="0"/>
            <w:tcW w:w="2405" w:type="dxa"/>
            <w:hideMark/>
          </w:tcPr>
          <w:p w14:paraId="0E7B5DE4" w14:textId="77777777" w:rsidR="00045EA1" w:rsidRPr="00451003" w:rsidRDefault="00045EA1" w:rsidP="00451003">
            <w:pPr>
              <w:rPr>
                <w:rFonts w:ascii="Arial" w:hAnsi="Arial" w:cs="Arial"/>
                <w:color w:val="000000"/>
                <w:sz w:val="20"/>
                <w:szCs w:val="20"/>
                <w:lang w:eastAsia="en-GB"/>
              </w:rPr>
            </w:pPr>
            <w:r w:rsidRPr="00451003">
              <w:rPr>
                <w:rFonts w:ascii="Arial" w:hAnsi="Arial" w:cs="Arial"/>
                <w:color w:val="000000"/>
                <w:sz w:val="20"/>
                <w:szCs w:val="20"/>
                <w:lang w:eastAsia="en-GB"/>
              </w:rPr>
              <w:t>2nd Committee Meeting</w:t>
            </w:r>
          </w:p>
        </w:tc>
        <w:tc>
          <w:tcPr>
            <w:tcW w:w="1559" w:type="dxa"/>
            <w:hideMark/>
          </w:tcPr>
          <w:p w14:paraId="2DCDBC49" w14:textId="77777777" w:rsidR="00045EA1" w:rsidRPr="00451003" w:rsidRDefault="00045EA1" w:rsidP="0045100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10%</w:t>
            </w:r>
          </w:p>
        </w:tc>
        <w:tc>
          <w:tcPr>
            <w:tcW w:w="1560" w:type="dxa"/>
            <w:hideMark/>
          </w:tcPr>
          <w:p w14:paraId="48BD08CC" w14:textId="77777777" w:rsidR="00045EA1" w:rsidRPr="00451003" w:rsidRDefault="00045EA1" w:rsidP="0045100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95%</w:t>
            </w:r>
          </w:p>
        </w:tc>
      </w:tr>
      <w:tr w:rsidR="00045EA1" w:rsidRPr="00451003" w14:paraId="03442F6A" w14:textId="77777777" w:rsidTr="008174F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5" w:type="dxa"/>
            <w:hideMark/>
          </w:tcPr>
          <w:p w14:paraId="6435D6B2" w14:textId="77777777" w:rsidR="00045EA1" w:rsidRPr="00451003" w:rsidRDefault="00045EA1" w:rsidP="00451003">
            <w:pPr>
              <w:rPr>
                <w:rFonts w:ascii="Arial" w:hAnsi="Arial" w:cs="Arial"/>
                <w:color w:val="000000"/>
                <w:sz w:val="20"/>
                <w:szCs w:val="20"/>
                <w:lang w:eastAsia="en-GB"/>
              </w:rPr>
            </w:pPr>
            <w:r w:rsidRPr="00451003">
              <w:rPr>
                <w:rFonts w:ascii="Arial" w:hAnsi="Arial" w:cs="Arial"/>
                <w:color w:val="000000"/>
                <w:sz w:val="20"/>
                <w:szCs w:val="20"/>
                <w:lang w:eastAsia="en-GB"/>
              </w:rPr>
              <w:t>Guidance Published</w:t>
            </w:r>
          </w:p>
        </w:tc>
        <w:tc>
          <w:tcPr>
            <w:tcW w:w="1559" w:type="dxa"/>
            <w:hideMark/>
          </w:tcPr>
          <w:p w14:paraId="007A4E06"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5%</w:t>
            </w:r>
          </w:p>
        </w:tc>
        <w:tc>
          <w:tcPr>
            <w:tcW w:w="1560" w:type="dxa"/>
            <w:hideMark/>
          </w:tcPr>
          <w:p w14:paraId="6F0FEA1C" w14:textId="77777777" w:rsidR="00045EA1" w:rsidRPr="00451003" w:rsidRDefault="00045EA1" w:rsidP="004510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n-GB"/>
              </w:rPr>
            </w:pPr>
            <w:r w:rsidRPr="00451003">
              <w:rPr>
                <w:rFonts w:ascii="Arial" w:hAnsi="Arial" w:cs="Arial"/>
                <w:color w:val="000000"/>
                <w:sz w:val="20"/>
                <w:szCs w:val="20"/>
                <w:lang w:eastAsia="en-GB"/>
              </w:rPr>
              <w:t>100%</w:t>
            </w:r>
          </w:p>
        </w:tc>
      </w:tr>
    </w:tbl>
    <w:p w14:paraId="19B6FB25" w14:textId="7DCFFD37" w:rsidR="003130CD" w:rsidRPr="003130CD" w:rsidRDefault="003130CD" w:rsidP="003130CD">
      <w:pPr>
        <w:pStyle w:val="NICEnormal"/>
      </w:pPr>
    </w:p>
    <w:p w14:paraId="41E3ADCC" w14:textId="77777777" w:rsidR="001C3944" w:rsidRPr="00E92D97" w:rsidRDefault="001C3944" w:rsidP="001C3944">
      <w:pPr>
        <w:pStyle w:val="NICEnormalnumbered"/>
      </w:pPr>
      <w:r w:rsidRPr="00E92D97">
        <w:t xml:space="preserve">During the review period, 7 published evaluations have had more than two committee meetings. </w:t>
      </w:r>
      <w:r>
        <w:t xml:space="preserve">At the time of reporting, </w:t>
      </w:r>
      <w:r w:rsidRPr="00E92D97">
        <w:t xml:space="preserve">there </w:t>
      </w:r>
      <w:r>
        <w:t>were</w:t>
      </w:r>
      <w:r w:rsidRPr="00E92D97">
        <w:t xml:space="preserve"> 6 evaluations in development with more than two committee meetings. Some of the reasons why these required multiple committee meetings include:</w:t>
      </w:r>
    </w:p>
    <w:p w14:paraId="568F331D" w14:textId="49B80C26" w:rsidR="001C3944" w:rsidRPr="00E92D97" w:rsidRDefault="001C3944" w:rsidP="001C3944">
      <w:pPr>
        <w:pStyle w:val="Bulletindent1"/>
      </w:pPr>
      <w:r w:rsidRPr="00E92D97">
        <w:t>A lack of or insufficient data provided by companies to enable committee decision making</w:t>
      </w:r>
      <w:r w:rsidR="002F0E3B">
        <w:t xml:space="preserve"> at a single committee meeting</w:t>
      </w:r>
    </w:p>
    <w:p w14:paraId="4EA8CEBA" w14:textId="77777777" w:rsidR="001C3944" w:rsidRPr="00E92D97" w:rsidRDefault="001C3944" w:rsidP="001C3944">
      <w:pPr>
        <w:pStyle w:val="Bulletindent1"/>
      </w:pPr>
      <w:r>
        <w:t>Delays required for the companies to develop commercial proposals in conjunction with NHS England and improvement</w:t>
      </w:r>
    </w:p>
    <w:p w14:paraId="3D0FA4B1" w14:textId="77777777" w:rsidR="001C3944" w:rsidRDefault="001C3944" w:rsidP="001C3944">
      <w:pPr>
        <w:pStyle w:val="Bulletindent1last"/>
      </w:pPr>
      <w:r>
        <w:t xml:space="preserve">A significant amount of consultation comments received which required more time for the committee to consider in full. </w:t>
      </w:r>
    </w:p>
    <w:p w14:paraId="1C2DDC17" w14:textId="52F05423" w:rsidR="001C3944" w:rsidRPr="008A7022" w:rsidRDefault="001C3944" w:rsidP="001C3944">
      <w:pPr>
        <w:pStyle w:val="NICEnormalnumbered"/>
      </w:pPr>
      <w:r>
        <w:t>Evaluations with more than two committee meeting</w:t>
      </w:r>
      <w:r w:rsidR="00E94BAB">
        <w:t>s</w:t>
      </w:r>
      <w:r>
        <w:t xml:space="preserve"> require additional resourcing and can impact or delay other planned activity</w:t>
      </w:r>
      <w:r w:rsidR="00D82833">
        <w:t>, thus reducing throughput in the programme and limiting our ability to fully recover our costs. Currently a fixed fee is charged for each TA/HST</w:t>
      </w:r>
      <w:r w:rsidR="00A20012">
        <w:t xml:space="preserve"> evaluation at the beginning of the process</w:t>
      </w:r>
      <w:r w:rsidR="00D82833">
        <w:t xml:space="preserve"> and there is no mechanism for charging for additional committee meetings that may be needed. </w:t>
      </w:r>
    </w:p>
    <w:p w14:paraId="26612444" w14:textId="712FBADF" w:rsidR="001C3944" w:rsidRPr="00E92D97" w:rsidRDefault="00990662" w:rsidP="001C3944">
      <w:pPr>
        <w:pStyle w:val="NICEnormalnumbered"/>
      </w:pPr>
      <w:r>
        <w:lastRenderedPageBreak/>
        <w:t>At the time of reporting, t</w:t>
      </w:r>
      <w:r w:rsidR="001C3944" w:rsidRPr="00E92D97">
        <w:t>here are no evaluations which started with an Invitation to Participate (ITP) date after the implementation date of 1 April 2019 that have been exempt from charges.</w:t>
      </w:r>
    </w:p>
    <w:p w14:paraId="5D6F4841" w14:textId="77777777" w:rsidR="001C3944" w:rsidRDefault="00CA39CD" w:rsidP="00CA39CD">
      <w:pPr>
        <w:pStyle w:val="Heading2boardreport"/>
      </w:pPr>
      <w:r>
        <w:t>Small company charges</w:t>
      </w:r>
    </w:p>
    <w:p w14:paraId="1133D02A" w14:textId="36C64740" w:rsidR="00CA39CD" w:rsidRPr="00CA39CD" w:rsidRDefault="00CA39CD" w:rsidP="00CA39CD">
      <w:pPr>
        <w:pStyle w:val="NICEnormalnumbered"/>
      </w:pPr>
      <w:r w:rsidRPr="00CA39CD">
        <w:t xml:space="preserve">Following the 2018 consultation that set out the proposal to introduce charges, the discount for small companies was increased from 25% to 75%, with the ability for small companies to pay in 3 instalments. This support was made available to minimise barriers to the participation of small companies in TA/HST evaluations. Based on historical records, it was assumed that approximately 10% of products would be manufactured or sponsored by small companies. </w:t>
      </w:r>
    </w:p>
    <w:p w14:paraId="4FD81A7F" w14:textId="265E6A6F" w:rsidR="00883C6D" w:rsidRDefault="00CA39CD" w:rsidP="00CA39CD">
      <w:pPr>
        <w:pStyle w:val="NICEnormalnumbered"/>
      </w:pPr>
      <w:r w:rsidRPr="00CA39CD">
        <w:t>D</w:t>
      </w:r>
      <w:r>
        <w:t xml:space="preserve">uring the review period, a total of 18 companies have approached NICE to be considered for a small company charge. </w:t>
      </w:r>
      <w:r w:rsidRPr="00E92D97">
        <w:t>Of these applications, 5 have been declined due to failure to meet the criteria</w:t>
      </w:r>
      <w:r>
        <w:t xml:space="preserve"> (as defined in Section 382 of the Companies Act 2006)</w:t>
      </w:r>
      <w:r w:rsidRPr="00E92D97">
        <w:t xml:space="preserve">. </w:t>
      </w:r>
      <w:bookmarkStart w:id="3" w:name="_Hlk83894583"/>
      <w:r w:rsidRPr="00E92D97">
        <w:t>In total,</w:t>
      </w:r>
      <w:r w:rsidR="00D82833">
        <w:t xml:space="preserve"> </w:t>
      </w:r>
      <w:r w:rsidRPr="00E92D97">
        <w:t>13 applications</w:t>
      </w:r>
      <w:r w:rsidR="001D5C4B">
        <w:t xml:space="preserve"> (7% of the total evaluations since April 2019)</w:t>
      </w:r>
      <w:r w:rsidRPr="00E92D97">
        <w:t xml:space="preserve"> have been classed as a small company and 9 of these utilised the phased payment option.</w:t>
      </w:r>
      <w:r w:rsidR="00883C6D">
        <w:t xml:space="preserve"> The value of small company discount </w:t>
      </w:r>
      <w:r w:rsidR="00A21BB5">
        <w:t>recognised</w:t>
      </w:r>
      <w:r w:rsidR="00883C6D">
        <w:t xml:space="preserve"> in each year </w:t>
      </w:r>
      <w:r w:rsidR="005A38E6">
        <w:t xml:space="preserve">is shown </w:t>
      </w:r>
      <w:r w:rsidR="00574C23">
        <w:t>in</w:t>
      </w:r>
      <w:r w:rsidR="005A38E6">
        <w:t xml:space="preserve"> table </w:t>
      </w:r>
      <w:r w:rsidR="00EF151F">
        <w:t>5</w:t>
      </w:r>
      <w:r w:rsidR="005A38E6">
        <w:t xml:space="preserve"> below</w:t>
      </w:r>
      <w:r w:rsidR="00D82833">
        <w:t>.</w:t>
      </w:r>
    </w:p>
    <w:p w14:paraId="0BC599FA" w14:textId="536F5CAF" w:rsidR="00CA39CD" w:rsidRDefault="005A38E6" w:rsidP="005A38E6">
      <w:pPr>
        <w:pStyle w:val="Tableheadingboardreport"/>
      </w:pPr>
      <w:r>
        <w:t xml:space="preserve">Table </w:t>
      </w:r>
      <w:r w:rsidR="00EF151F">
        <w:t>5</w:t>
      </w:r>
      <w:r>
        <w:t xml:space="preserve"> - Small company discount funded through GIA</w:t>
      </w:r>
      <w:bookmarkEnd w:id="3"/>
    </w:p>
    <w:p w14:paraId="66CE7603" w14:textId="72687C66" w:rsidR="00222680" w:rsidRDefault="00222680">
      <w:pPr>
        <w:pStyle w:val="Tableheadingboardreport"/>
        <w:rPr>
          <w:rFonts w:ascii="Times New Roman" w:hAnsi="Times New Roman"/>
          <w:b w:val="0"/>
          <w:color w:val="auto"/>
          <w:sz w:val="20"/>
          <w:szCs w:val="20"/>
          <w:lang w:eastAsia="en-GB"/>
        </w:rPr>
      </w:pPr>
    </w:p>
    <w:tbl>
      <w:tblPr>
        <w:tblStyle w:val="PlainTable1"/>
        <w:tblW w:w="4339" w:type="dxa"/>
        <w:tblLook w:val="04A0" w:firstRow="1" w:lastRow="0" w:firstColumn="1" w:lastColumn="0" w:noHBand="0" w:noVBand="1"/>
      </w:tblPr>
      <w:tblGrid>
        <w:gridCol w:w="2642"/>
        <w:gridCol w:w="1697"/>
      </w:tblGrid>
      <w:tr w:rsidR="00222680" w:rsidRPr="00222680" w14:paraId="3EE4DFD9" w14:textId="77777777" w:rsidTr="008174FC">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2642" w:type="dxa"/>
            <w:hideMark/>
          </w:tcPr>
          <w:p w14:paraId="2856A36B" w14:textId="58F91604" w:rsidR="00222680" w:rsidRPr="00222680" w:rsidRDefault="00222680" w:rsidP="008174FC">
            <w:pPr>
              <w:pStyle w:val="Tableheadingboardreport"/>
              <w:rPr>
                <w:b/>
                <w:bCs w:val="0"/>
                <w:lang w:eastAsia="en-GB"/>
              </w:rPr>
            </w:pPr>
            <w:r w:rsidRPr="00222680">
              <w:rPr>
                <w:b/>
                <w:lang w:eastAsia="en-GB"/>
              </w:rPr>
              <w:t>Year</w:t>
            </w:r>
          </w:p>
        </w:tc>
        <w:tc>
          <w:tcPr>
            <w:tcW w:w="1697" w:type="dxa"/>
            <w:hideMark/>
          </w:tcPr>
          <w:p w14:paraId="1EC80688" w14:textId="77777777" w:rsidR="00222680" w:rsidRPr="00222680" w:rsidRDefault="00222680" w:rsidP="008174FC">
            <w:pPr>
              <w:pStyle w:val="Tableheadingboardreport"/>
              <w:cnfStyle w:val="100000000000" w:firstRow="1" w:lastRow="0" w:firstColumn="0" w:lastColumn="0" w:oddVBand="0" w:evenVBand="0" w:oddHBand="0" w:evenHBand="0" w:firstRowFirstColumn="0" w:firstRowLastColumn="0" w:lastRowFirstColumn="0" w:lastRowLastColumn="0"/>
              <w:rPr>
                <w:b/>
                <w:bCs w:val="0"/>
                <w:lang w:eastAsia="en-GB"/>
              </w:rPr>
            </w:pPr>
            <w:r w:rsidRPr="00222680">
              <w:rPr>
                <w:b/>
                <w:lang w:eastAsia="en-GB"/>
              </w:rPr>
              <w:t>Small company discount recognised £000</w:t>
            </w:r>
          </w:p>
        </w:tc>
      </w:tr>
      <w:tr w:rsidR="00222680" w:rsidRPr="00222680" w14:paraId="44F507B1" w14:textId="77777777" w:rsidTr="008174F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42" w:type="dxa"/>
            <w:noWrap/>
            <w:hideMark/>
          </w:tcPr>
          <w:p w14:paraId="324C36C3" w14:textId="021B7286" w:rsidR="00222680" w:rsidRPr="00222680" w:rsidRDefault="00222680" w:rsidP="008174FC">
            <w:pPr>
              <w:pStyle w:val="Tableheadingboardreport"/>
              <w:rPr>
                <w:color w:val="000000"/>
                <w:lang w:eastAsia="en-GB"/>
              </w:rPr>
            </w:pPr>
            <w:r w:rsidRPr="00222680">
              <w:rPr>
                <w:color w:val="000000"/>
                <w:lang w:eastAsia="en-GB"/>
              </w:rPr>
              <w:t>2019</w:t>
            </w:r>
            <w:r w:rsidR="007D111E">
              <w:t>/</w:t>
            </w:r>
            <w:r w:rsidRPr="00222680">
              <w:rPr>
                <w:color w:val="000000"/>
                <w:lang w:eastAsia="en-GB"/>
              </w:rPr>
              <w:t>20</w:t>
            </w:r>
          </w:p>
        </w:tc>
        <w:tc>
          <w:tcPr>
            <w:tcW w:w="1697" w:type="dxa"/>
            <w:noWrap/>
            <w:hideMark/>
          </w:tcPr>
          <w:p w14:paraId="30DDB853" w14:textId="77777777" w:rsidR="00222680" w:rsidRPr="00222680" w:rsidRDefault="00222680" w:rsidP="008174FC">
            <w:pPr>
              <w:pStyle w:val="Tableheadingboardreport"/>
              <w:cnfStyle w:val="000000100000" w:firstRow="0" w:lastRow="0" w:firstColumn="0" w:lastColumn="0" w:oddVBand="0" w:evenVBand="0" w:oddHBand="1" w:evenHBand="0" w:firstRowFirstColumn="0" w:firstRowLastColumn="0" w:lastRowFirstColumn="0" w:lastRowLastColumn="0"/>
              <w:rPr>
                <w:color w:val="000000"/>
                <w:lang w:eastAsia="en-GB"/>
              </w:rPr>
            </w:pPr>
            <w:r w:rsidRPr="00222680">
              <w:rPr>
                <w:color w:val="000000"/>
                <w:lang w:eastAsia="en-GB"/>
              </w:rPr>
              <w:t>47</w:t>
            </w:r>
          </w:p>
        </w:tc>
      </w:tr>
      <w:tr w:rsidR="00222680" w:rsidRPr="00222680" w14:paraId="183D5E65" w14:textId="77777777" w:rsidTr="008174FC">
        <w:trPr>
          <w:trHeight w:val="258"/>
        </w:trPr>
        <w:tc>
          <w:tcPr>
            <w:cnfStyle w:val="001000000000" w:firstRow="0" w:lastRow="0" w:firstColumn="1" w:lastColumn="0" w:oddVBand="0" w:evenVBand="0" w:oddHBand="0" w:evenHBand="0" w:firstRowFirstColumn="0" w:firstRowLastColumn="0" w:lastRowFirstColumn="0" w:lastRowLastColumn="0"/>
            <w:tcW w:w="2642" w:type="dxa"/>
            <w:noWrap/>
            <w:hideMark/>
          </w:tcPr>
          <w:p w14:paraId="0734EC58" w14:textId="4A179496" w:rsidR="00222680" w:rsidRPr="00222680" w:rsidRDefault="00222680" w:rsidP="008174FC">
            <w:pPr>
              <w:pStyle w:val="Tableheadingboardreport"/>
              <w:rPr>
                <w:color w:val="000000"/>
                <w:lang w:eastAsia="en-GB"/>
              </w:rPr>
            </w:pPr>
            <w:r w:rsidRPr="00222680">
              <w:rPr>
                <w:color w:val="000000"/>
                <w:lang w:eastAsia="en-GB"/>
              </w:rPr>
              <w:t>2020</w:t>
            </w:r>
            <w:r w:rsidR="007D111E">
              <w:t>/</w:t>
            </w:r>
            <w:r w:rsidRPr="00222680">
              <w:rPr>
                <w:color w:val="000000"/>
                <w:lang w:eastAsia="en-GB"/>
              </w:rPr>
              <w:t>21</w:t>
            </w:r>
          </w:p>
        </w:tc>
        <w:tc>
          <w:tcPr>
            <w:tcW w:w="1697" w:type="dxa"/>
            <w:noWrap/>
            <w:hideMark/>
          </w:tcPr>
          <w:p w14:paraId="145B93AF" w14:textId="77777777" w:rsidR="00222680" w:rsidRPr="00222680" w:rsidRDefault="00222680" w:rsidP="008174FC">
            <w:pPr>
              <w:pStyle w:val="Tableheadingboardreport"/>
              <w:cnfStyle w:val="000000000000" w:firstRow="0" w:lastRow="0" w:firstColumn="0" w:lastColumn="0" w:oddVBand="0" w:evenVBand="0" w:oddHBand="0" w:evenHBand="0" w:firstRowFirstColumn="0" w:firstRowLastColumn="0" w:lastRowFirstColumn="0" w:lastRowLastColumn="0"/>
              <w:rPr>
                <w:color w:val="000000"/>
                <w:lang w:eastAsia="en-GB"/>
              </w:rPr>
            </w:pPr>
            <w:r w:rsidRPr="00222680">
              <w:rPr>
                <w:color w:val="000000"/>
                <w:lang w:eastAsia="en-GB"/>
              </w:rPr>
              <w:t>534</w:t>
            </w:r>
          </w:p>
        </w:tc>
      </w:tr>
      <w:tr w:rsidR="00222680" w:rsidRPr="00222680" w14:paraId="62E443D6" w14:textId="77777777" w:rsidTr="008174F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42" w:type="dxa"/>
            <w:noWrap/>
            <w:hideMark/>
          </w:tcPr>
          <w:p w14:paraId="055AF68D" w14:textId="3913E52F" w:rsidR="00222680" w:rsidRPr="00222680" w:rsidRDefault="00222680" w:rsidP="008174FC">
            <w:pPr>
              <w:pStyle w:val="Tableheadingboardreport"/>
              <w:rPr>
                <w:color w:val="000000"/>
                <w:lang w:eastAsia="en-GB"/>
              </w:rPr>
            </w:pPr>
            <w:r w:rsidRPr="00222680">
              <w:rPr>
                <w:color w:val="000000"/>
                <w:lang w:eastAsia="en-GB"/>
              </w:rPr>
              <w:t>2021</w:t>
            </w:r>
            <w:r w:rsidR="007D111E">
              <w:t>/</w:t>
            </w:r>
            <w:r w:rsidRPr="00222680">
              <w:rPr>
                <w:color w:val="000000"/>
                <w:lang w:eastAsia="en-GB"/>
              </w:rPr>
              <w:t>22 (Apr 21 to Sep 21)</w:t>
            </w:r>
          </w:p>
        </w:tc>
        <w:tc>
          <w:tcPr>
            <w:tcW w:w="1697" w:type="dxa"/>
            <w:noWrap/>
            <w:hideMark/>
          </w:tcPr>
          <w:p w14:paraId="0DB138FF" w14:textId="77777777" w:rsidR="00222680" w:rsidRPr="00222680" w:rsidRDefault="00222680" w:rsidP="008174FC">
            <w:pPr>
              <w:pStyle w:val="Tableheadingboardreport"/>
              <w:cnfStyle w:val="000000100000" w:firstRow="0" w:lastRow="0" w:firstColumn="0" w:lastColumn="0" w:oddVBand="0" w:evenVBand="0" w:oddHBand="1" w:evenHBand="0" w:firstRowFirstColumn="0" w:firstRowLastColumn="0" w:lastRowFirstColumn="0" w:lastRowLastColumn="0"/>
              <w:rPr>
                <w:color w:val="000000"/>
                <w:lang w:eastAsia="en-GB"/>
              </w:rPr>
            </w:pPr>
            <w:r w:rsidRPr="00222680">
              <w:rPr>
                <w:color w:val="000000"/>
                <w:lang w:eastAsia="en-GB"/>
              </w:rPr>
              <w:t>265</w:t>
            </w:r>
          </w:p>
        </w:tc>
      </w:tr>
      <w:tr w:rsidR="00222680" w:rsidRPr="00222680" w14:paraId="55B4CC87" w14:textId="77777777" w:rsidTr="008174FC">
        <w:trPr>
          <w:trHeight w:val="258"/>
        </w:trPr>
        <w:tc>
          <w:tcPr>
            <w:cnfStyle w:val="001000000000" w:firstRow="0" w:lastRow="0" w:firstColumn="1" w:lastColumn="0" w:oddVBand="0" w:evenVBand="0" w:oddHBand="0" w:evenHBand="0" w:firstRowFirstColumn="0" w:firstRowLastColumn="0" w:lastRowFirstColumn="0" w:lastRowLastColumn="0"/>
            <w:tcW w:w="2642" w:type="dxa"/>
            <w:hideMark/>
          </w:tcPr>
          <w:p w14:paraId="6A0B413B" w14:textId="77777777" w:rsidR="00222680" w:rsidRPr="00222680" w:rsidRDefault="00222680" w:rsidP="008174FC">
            <w:pPr>
              <w:pStyle w:val="Tableheadingboardreport"/>
              <w:rPr>
                <w:b/>
                <w:bCs w:val="0"/>
                <w:lang w:eastAsia="en-GB"/>
              </w:rPr>
            </w:pPr>
            <w:r w:rsidRPr="00222680">
              <w:rPr>
                <w:b/>
                <w:lang w:eastAsia="en-GB"/>
              </w:rPr>
              <w:t>Total</w:t>
            </w:r>
          </w:p>
        </w:tc>
        <w:tc>
          <w:tcPr>
            <w:tcW w:w="1697" w:type="dxa"/>
            <w:noWrap/>
            <w:hideMark/>
          </w:tcPr>
          <w:p w14:paraId="4CD26221" w14:textId="77777777" w:rsidR="00222680" w:rsidRPr="00222680" w:rsidRDefault="00222680" w:rsidP="008174FC">
            <w:pPr>
              <w:pStyle w:val="Tableheadingboardreport"/>
              <w:cnfStyle w:val="000000000000" w:firstRow="0" w:lastRow="0" w:firstColumn="0" w:lastColumn="0" w:oddVBand="0" w:evenVBand="0" w:oddHBand="0" w:evenHBand="0" w:firstRowFirstColumn="0" w:firstRowLastColumn="0" w:lastRowFirstColumn="0" w:lastRowLastColumn="0"/>
              <w:rPr>
                <w:lang w:eastAsia="en-GB"/>
              </w:rPr>
            </w:pPr>
            <w:r w:rsidRPr="00222680">
              <w:rPr>
                <w:lang w:eastAsia="en-GB"/>
              </w:rPr>
              <w:t>846</w:t>
            </w:r>
          </w:p>
        </w:tc>
      </w:tr>
    </w:tbl>
    <w:p w14:paraId="307F9CC2" w14:textId="19C33F84" w:rsidR="005A38E6" w:rsidRDefault="005A38E6" w:rsidP="00222680">
      <w:pPr>
        <w:pStyle w:val="Tableheadingboardreport"/>
      </w:pPr>
    </w:p>
    <w:p w14:paraId="1CB9B143" w14:textId="77777777" w:rsidR="00CA39CD" w:rsidRDefault="00CA39CD" w:rsidP="00CA39CD">
      <w:pPr>
        <w:pStyle w:val="Heading2boardreport"/>
      </w:pPr>
      <w:r>
        <w:t xml:space="preserve">Companies who have not paid charges </w:t>
      </w:r>
    </w:p>
    <w:p w14:paraId="1AD226D7" w14:textId="77777777" w:rsidR="00CA39CD" w:rsidRPr="00CA39CD" w:rsidRDefault="00CA39CD" w:rsidP="00CA39CD">
      <w:pPr>
        <w:pStyle w:val="NICEnormalnumbered"/>
      </w:pPr>
      <w:r w:rsidRPr="00CA39CD">
        <w:t xml:space="preserve">To facilitate timely payment of charges, NICE requests a Unique Reference Number (URN) from the company approximately 3 months before the evaluation is due to begin. In accordance with the current published charging </w:t>
      </w:r>
      <w:r w:rsidRPr="00CA39CD">
        <w:lastRenderedPageBreak/>
        <w:t xml:space="preserve">procedure, NICE reserves the right to pause the evaluation if payment is not received in full by the deadline for evidence submission. </w:t>
      </w:r>
    </w:p>
    <w:p w14:paraId="0B28D53C" w14:textId="77777777" w:rsidR="00CA39CD" w:rsidRPr="00E92D97" w:rsidRDefault="00CA39CD" w:rsidP="00CA39CD">
      <w:pPr>
        <w:pStyle w:val="NICEnormalnumbered"/>
      </w:pPr>
      <w:r w:rsidRPr="00CA39CD">
        <w:t>N</w:t>
      </w:r>
      <w:r w:rsidRPr="00E92D97">
        <w:t xml:space="preserve">o companies have declined to pay charges for an evaluation following receipt of the charging notification or once the Unique Reference Number (URN) has been received by NICE. </w:t>
      </w:r>
    </w:p>
    <w:p w14:paraId="4E9EC1EB" w14:textId="77777777" w:rsidR="00CA39CD" w:rsidRPr="00E92D97" w:rsidRDefault="00CA39CD" w:rsidP="00CA39CD">
      <w:pPr>
        <w:pStyle w:val="Heading2boardreport"/>
      </w:pPr>
      <w:r>
        <w:t>Refunds</w:t>
      </w:r>
    </w:p>
    <w:p w14:paraId="3B822BAA" w14:textId="3D4D7647" w:rsidR="00CA39CD" w:rsidRDefault="00740814" w:rsidP="00CA39CD">
      <w:pPr>
        <w:pStyle w:val="NICEnormalnumbered"/>
      </w:pPr>
      <w:r>
        <w:t xml:space="preserve">During </w:t>
      </w:r>
      <w:r w:rsidR="00CA39CD">
        <w:t>the review period, 5 evaluations were converted from Single Technology Appraisal (STA) to Fast Track Appraisal (FTA), with NICE refunding the difference in charge</w:t>
      </w:r>
      <w:r w:rsidR="00EE347D">
        <w:t xml:space="preserve"> as set out in the charging principles on our website.</w:t>
      </w:r>
    </w:p>
    <w:p w14:paraId="5A4247B1" w14:textId="06AF9417" w:rsidR="00881C86" w:rsidRDefault="00E113D6" w:rsidP="00881C86">
      <w:pPr>
        <w:pStyle w:val="NICEnormalnumbered"/>
      </w:pPr>
      <w:r>
        <w:t>A</w:t>
      </w:r>
      <w:r w:rsidR="00CA39CD" w:rsidRPr="00E92D97">
        <w:t xml:space="preserve"> total of 1</w:t>
      </w:r>
      <w:r w:rsidR="00E91671">
        <w:t>0</w:t>
      </w:r>
      <w:r w:rsidR="00CA39CD" w:rsidRPr="00E92D97">
        <w:t xml:space="preserve"> </w:t>
      </w:r>
      <w:r w:rsidR="00881C86">
        <w:t>partial</w:t>
      </w:r>
      <w:r w:rsidR="00740814" w:rsidRPr="00E92D97">
        <w:t xml:space="preserve"> </w:t>
      </w:r>
      <w:r w:rsidR="00CA39CD" w:rsidRPr="00E92D97">
        <w:t>refunds</w:t>
      </w:r>
      <w:r w:rsidR="00881C86">
        <w:t xml:space="preserve"> for </w:t>
      </w:r>
      <w:r w:rsidR="00E91671">
        <w:t>evaluations suspended before the first committee meeting</w:t>
      </w:r>
      <w:r w:rsidR="00CA39CD" w:rsidRPr="00E92D97">
        <w:t xml:space="preserve"> have </w:t>
      </w:r>
      <w:r w:rsidR="00EE347D">
        <w:t xml:space="preserve">also </w:t>
      </w:r>
      <w:r w:rsidR="00E94BAB" w:rsidRPr="00E92D97">
        <w:t xml:space="preserve">been </w:t>
      </w:r>
      <w:r w:rsidR="00CA39CD" w:rsidRPr="00E92D97">
        <w:t>processed.</w:t>
      </w:r>
      <w:r w:rsidR="00881C86">
        <w:t xml:space="preserve"> </w:t>
      </w:r>
      <w:r w:rsidR="00EE347D">
        <w:t>T</w:t>
      </w:r>
      <w:r w:rsidR="00881C86">
        <w:t xml:space="preserve">he current charging procedures </w:t>
      </w:r>
      <w:r w:rsidR="00EE347D">
        <w:t xml:space="preserve">state that </w:t>
      </w:r>
      <w:r w:rsidR="00881C86">
        <w:t>w</w:t>
      </w:r>
      <w:r w:rsidR="00881C86" w:rsidRPr="00740814">
        <w:t>he</w:t>
      </w:r>
      <w:r w:rsidR="00881C86">
        <w:t>n</w:t>
      </w:r>
      <w:r w:rsidR="00881C86" w:rsidRPr="00740814">
        <w:t xml:space="preserve"> a</w:t>
      </w:r>
      <w:r w:rsidR="00881C86">
        <w:t xml:space="preserve"> partial</w:t>
      </w:r>
      <w:r w:rsidR="00881C86" w:rsidRPr="00740814">
        <w:t xml:space="preserve"> refund is applicable, the amount NICE will refund will depend on the</w:t>
      </w:r>
      <w:r w:rsidR="00EE347D">
        <w:t xml:space="preserve"> costs incurred up to that point and is</w:t>
      </w:r>
      <w:r w:rsidR="00881C86">
        <w:t xml:space="preserve"> linked </w:t>
      </w:r>
      <w:r w:rsidR="00E94BAB">
        <w:t xml:space="preserve">to </w:t>
      </w:r>
      <w:r w:rsidR="00881C86">
        <w:t>the milestones set out in Table 4 above</w:t>
      </w:r>
      <w:r w:rsidR="00EE347D">
        <w:t xml:space="preserve">. Therefore, </w:t>
      </w:r>
      <w:r w:rsidR="00881C86">
        <w:t xml:space="preserve">the costs for the work done </w:t>
      </w:r>
      <w:r w:rsidR="00E91671">
        <w:t>up to the point of termination</w:t>
      </w:r>
      <w:r w:rsidR="00881C86">
        <w:t xml:space="preserve"> are retained by NICE.</w:t>
      </w:r>
      <w:r w:rsidR="00E91671">
        <w:t xml:space="preserve"> Partial refunds are not applicable once an evaluation has reached the committee meeting stage.</w:t>
      </w:r>
    </w:p>
    <w:p w14:paraId="6D3C5581" w14:textId="77777777" w:rsidR="00045EA1" w:rsidRPr="00E92D97" w:rsidRDefault="00045EA1" w:rsidP="00045EA1">
      <w:pPr>
        <w:pStyle w:val="NICEnormalnumbered"/>
      </w:pPr>
      <w:r>
        <w:t xml:space="preserve">In addition to the above, 3 companies received a partial refund when 3 </w:t>
      </w:r>
      <w:proofErr w:type="gramStart"/>
      <w:r>
        <w:t>STA's</w:t>
      </w:r>
      <w:proofErr w:type="gramEnd"/>
      <w:r>
        <w:t xml:space="preserve"> were converted into 1 Multiple Technology Appraisal (MTA) to recognise the cost avoided by NICE. A single refund for a company withdrawal from an MTA was also processed.</w:t>
      </w:r>
    </w:p>
    <w:p w14:paraId="0FEF822E" w14:textId="77777777" w:rsidR="00CA39CD" w:rsidRPr="00E92D97" w:rsidRDefault="00CA39CD" w:rsidP="00CA39CD">
      <w:pPr>
        <w:pStyle w:val="NICEnormalnumbered"/>
      </w:pPr>
      <w:r>
        <w:t>In the cases where a refund was applied because of a company action (</w:t>
      </w:r>
      <w:proofErr w:type="gramStart"/>
      <w:r>
        <w:t>e.g.</w:t>
      </w:r>
      <w:proofErr w:type="gramEnd"/>
      <w:r>
        <w:t xml:space="preserve"> non-submission to NICE) the appropriate administrative charge was applied. In the scenarios where a refund was required due to a decision made by NICE, no administrative charge was applied.</w:t>
      </w:r>
      <w:r w:rsidRPr="00E92D97">
        <w:t xml:space="preserve"> </w:t>
      </w:r>
    </w:p>
    <w:p w14:paraId="46145593" w14:textId="16C7804C" w:rsidR="00CA39CD" w:rsidRPr="004D64A7" w:rsidRDefault="00CA39CD" w:rsidP="00CA39CD">
      <w:pPr>
        <w:pStyle w:val="Heading2boardreport"/>
      </w:pPr>
      <w:r>
        <w:t xml:space="preserve">Other </w:t>
      </w:r>
      <w:r w:rsidR="00ED1758">
        <w:t xml:space="preserve">relevant </w:t>
      </w:r>
      <w:r>
        <w:t xml:space="preserve">programme activity </w:t>
      </w:r>
      <w:r w:rsidR="00570AFB">
        <w:t>not included in TA/HST fees</w:t>
      </w:r>
      <w:r>
        <w:t xml:space="preserve"> </w:t>
      </w:r>
    </w:p>
    <w:p w14:paraId="420F3432" w14:textId="32844F41" w:rsidR="00154F85" w:rsidRDefault="00CA39CD" w:rsidP="00CA39CD">
      <w:pPr>
        <w:pStyle w:val="NICEnormalnumbered"/>
      </w:pPr>
      <w:r>
        <w:t xml:space="preserve">Within the Centre for Health Technology Evaluation (CHTE) there are a suite of wider activities that support the overall aims of the TA/HST work programme. The current </w:t>
      </w:r>
      <w:r w:rsidR="00875883">
        <w:t>fees for TA/HST</w:t>
      </w:r>
      <w:r>
        <w:t xml:space="preserve"> do not incorporate costs for this </w:t>
      </w:r>
      <w:r>
        <w:lastRenderedPageBreak/>
        <w:t>broader work, which is considered fundamental to the development of guidance.</w:t>
      </w:r>
      <w:r w:rsidR="00570AFB">
        <w:t xml:space="preserve"> Some of this activity is funded by other sources, such as</w:t>
      </w:r>
      <w:r w:rsidR="00875883">
        <w:t xml:space="preserve"> NHS England (to support managed access agreements) and by companies engaging with our Office for Market Access</w:t>
      </w:r>
      <w:r w:rsidR="00154F85">
        <w:t xml:space="preserve"> (OMA).</w:t>
      </w:r>
    </w:p>
    <w:p w14:paraId="192ABF39" w14:textId="77777777" w:rsidR="00154F85" w:rsidRDefault="00154F85" w:rsidP="00154F85">
      <w:pPr>
        <w:pStyle w:val="NICEnormalnumbered"/>
      </w:pPr>
      <w:r>
        <w:t xml:space="preserve">During the review period, the Office for Market Access (OMA) have carried out paid engagement activity for 14 evaluations which have been subject to charges. Of these evaluations, 9 remain in </w:t>
      </w:r>
      <w:r w:rsidRPr="005B202D">
        <w:t>progress and 5 have published as final guidance.</w:t>
      </w:r>
    </w:p>
    <w:p w14:paraId="1523B3A2" w14:textId="781CE285" w:rsidR="00CA39CD" w:rsidRPr="005B202D" w:rsidRDefault="00154F85" w:rsidP="00CA39CD">
      <w:pPr>
        <w:pStyle w:val="NICEnormalnumbered"/>
      </w:pPr>
      <w:r>
        <w:t>More recently, we are now supporting the</w:t>
      </w:r>
      <w:r w:rsidR="00CA39CD">
        <w:t xml:space="preserve"> Innovative Licensing and Access Pathway (ILAP)</w:t>
      </w:r>
      <w:r>
        <w:t xml:space="preserve">, which was launched after TA/HST fees were introduced. Currently, this additional activity is </w:t>
      </w:r>
      <w:r w:rsidR="00972B8F">
        <w:t>supported by</w:t>
      </w:r>
      <w:r>
        <w:t xml:space="preserve"> grant-in-aid funding</w:t>
      </w:r>
      <w:r w:rsidR="00972B8F">
        <w:t xml:space="preserve"> on a non-recurrent basis from the DHSC, but long-term funding has yet to be secured</w:t>
      </w:r>
      <w:r>
        <w:t>.</w:t>
      </w:r>
    </w:p>
    <w:p w14:paraId="56B17E96" w14:textId="77777777" w:rsidR="004B4705" w:rsidRDefault="004B4705" w:rsidP="00E95993">
      <w:pPr>
        <w:pStyle w:val="NICEnormal"/>
        <w:sectPr w:rsidR="004B4705" w:rsidSect="00CA39CD">
          <w:headerReference w:type="default" r:id="rId11"/>
          <w:footerReference w:type="default" r:id="rId12"/>
          <w:pgSz w:w="11906" w:h="16838"/>
          <w:pgMar w:top="1440" w:right="1440" w:bottom="1440" w:left="1440" w:header="708" w:footer="708" w:gutter="0"/>
          <w:cols w:space="708"/>
          <w:docGrid w:linePitch="360"/>
        </w:sectPr>
      </w:pPr>
    </w:p>
    <w:p w14:paraId="0F012FB4" w14:textId="77777777" w:rsidR="004B4705" w:rsidRDefault="004B4705" w:rsidP="004B4705">
      <w:pPr>
        <w:pStyle w:val="Heading1boardreport"/>
      </w:pPr>
      <w:r>
        <w:lastRenderedPageBreak/>
        <w:t>Conclusion</w:t>
      </w:r>
    </w:p>
    <w:p w14:paraId="6C50D368" w14:textId="13E92004" w:rsidR="00936CBD" w:rsidRDefault="00B4047B" w:rsidP="00936CBD">
      <w:pPr>
        <w:pStyle w:val="NICEnormalnumbered"/>
      </w:pPr>
      <w:r w:rsidRPr="00B4047B">
        <w:t xml:space="preserve">The </w:t>
      </w:r>
      <w:r>
        <w:t xml:space="preserve">current </w:t>
      </w:r>
      <w:r w:rsidRPr="00B4047B">
        <w:t xml:space="preserve">fees were set based on the costs of the programme </w:t>
      </w:r>
      <w:r w:rsidR="0077230C">
        <w:t>during 2018/19</w:t>
      </w:r>
      <w:r>
        <w:t>.</w:t>
      </w:r>
      <w:r w:rsidRPr="00B4047B">
        <w:t xml:space="preserve"> </w:t>
      </w:r>
      <w:r>
        <w:t>S</w:t>
      </w:r>
      <w:r w:rsidRPr="00E06ADE">
        <w:t xml:space="preserve">ince implementation in April 2019, full cost recovery is yet to be achieved </w:t>
      </w:r>
      <w:r w:rsidR="00936CBD">
        <w:t xml:space="preserve">due to </w:t>
      </w:r>
      <w:r w:rsidR="0077230C">
        <w:t>the several factors set out in this paper:</w:t>
      </w:r>
    </w:p>
    <w:p w14:paraId="19AFDF7F" w14:textId="77777777" w:rsidR="002F621F" w:rsidRPr="002F621F" w:rsidRDefault="002F621F" w:rsidP="002F621F">
      <w:pPr>
        <w:pStyle w:val="Bulletindent2last"/>
      </w:pPr>
      <w:r w:rsidRPr="00466A93">
        <w:t xml:space="preserve">Prices have not been uplifted since April 2019 to </w:t>
      </w:r>
      <w:proofErr w:type="gramStart"/>
      <w:r w:rsidRPr="00466A93">
        <w:t>take into account</w:t>
      </w:r>
      <w:proofErr w:type="gramEnd"/>
      <w:r w:rsidRPr="00466A93">
        <w:t xml:space="preserve"> pay </w:t>
      </w:r>
      <w:r w:rsidRPr="002F621F">
        <w:t>and pension inflation</w:t>
      </w:r>
    </w:p>
    <w:p w14:paraId="0B1DB9BF" w14:textId="7A5AA870" w:rsidR="002F621F" w:rsidRPr="002F621F" w:rsidRDefault="002F621F" w:rsidP="002F621F">
      <w:pPr>
        <w:pStyle w:val="Bulletindent2last"/>
      </w:pPr>
      <w:r>
        <w:t>COVID-19 had a significant impact on cost recovery in 2020</w:t>
      </w:r>
      <w:r w:rsidR="00B93C53">
        <w:t>/</w:t>
      </w:r>
      <w:r>
        <w:t>21</w:t>
      </w:r>
      <w:r w:rsidR="003732A2">
        <w:t xml:space="preserve"> due to topics being paused, with a knock-on impact in 2021</w:t>
      </w:r>
      <w:r w:rsidR="00B93C53">
        <w:t>/</w:t>
      </w:r>
      <w:r w:rsidR="003732A2">
        <w:t>22 due to fewer than planned evaluations starting during 2020</w:t>
      </w:r>
      <w:r w:rsidRPr="002F621F">
        <w:t xml:space="preserve"> </w:t>
      </w:r>
    </w:p>
    <w:p w14:paraId="0E6B871E" w14:textId="2457606D" w:rsidR="002F621F" w:rsidRPr="002F621F" w:rsidRDefault="002F621F" w:rsidP="002F621F">
      <w:pPr>
        <w:pStyle w:val="Bulletindent2last"/>
      </w:pPr>
      <w:r>
        <w:t xml:space="preserve">Vacancies </w:t>
      </w:r>
      <w:r w:rsidRPr="002F621F">
        <w:t>and staff turnover in the TA/HST team has had an impact on productivity, but some of the lost income has been offset by reduced staff costs</w:t>
      </w:r>
    </w:p>
    <w:p w14:paraId="4E2B3C40" w14:textId="7559BECE" w:rsidR="002F621F" w:rsidRPr="002F621F" w:rsidRDefault="002F621F" w:rsidP="002F621F">
      <w:pPr>
        <w:pStyle w:val="Bulletindent2last"/>
      </w:pPr>
      <w:r>
        <w:t xml:space="preserve">The </w:t>
      </w:r>
      <w:r w:rsidRPr="002F621F">
        <w:t xml:space="preserve">75% discount for small companies is a cost pressure of approximately £0.5m per annum depending on the number of eligible companies. </w:t>
      </w:r>
    </w:p>
    <w:p w14:paraId="6BB33F7C" w14:textId="77777777" w:rsidR="002F621F" w:rsidRPr="002F621F" w:rsidRDefault="002F621F" w:rsidP="002F621F">
      <w:pPr>
        <w:pStyle w:val="Bulletindent2last"/>
      </w:pPr>
      <w:r>
        <w:t>The work programme is regularly undertaking additional activity not charged for (for example extra committee meetings that are required due to insufficient data provided by companies</w:t>
      </w:r>
      <w:r w:rsidRPr="002F621F">
        <w:t xml:space="preserve">). </w:t>
      </w:r>
    </w:p>
    <w:p w14:paraId="20876867" w14:textId="77777777" w:rsidR="003732A2" w:rsidRDefault="003732A2" w:rsidP="003732A2">
      <w:pPr>
        <w:pStyle w:val="NICEnormalnumbered"/>
        <w:numPr>
          <w:ilvl w:val="0"/>
          <w:numId w:val="0"/>
        </w:numPr>
        <w:ind w:left="644"/>
      </w:pPr>
    </w:p>
    <w:p w14:paraId="3B601081" w14:textId="66EEFA1D" w:rsidR="003732A2" w:rsidRDefault="00CA39CD" w:rsidP="00CA39CD">
      <w:pPr>
        <w:pStyle w:val="NICEnormalnumbered"/>
      </w:pPr>
      <w:r>
        <w:t>To ensure costs are fully recovered</w:t>
      </w:r>
      <w:r w:rsidR="003732A2">
        <w:t xml:space="preserve"> in future years</w:t>
      </w:r>
      <w:r>
        <w:t xml:space="preserve">, </w:t>
      </w:r>
      <w:r w:rsidR="003732A2">
        <w:t>we</w:t>
      </w:r>
      <w:r w:rsidR="005E4334">
        <w:t xml:space="preserve"> plan to increase charges </w:t>
      </w:r>
      <w:r w:rsidR="003732A2">
        <w:t xml:space="preserve">from 1 April 2022 to reflect increases in pay and pension costs. </w:t>
      </w:r>
    </w:p>
    <w:p w14:paraId="78FE1694" w14:textId="78288240" w:rsidR="003732A2" w:rsidRDefault="003732A2" w:rsidP="00CA39CD">
      <w:pPr>
        <w:pStyle w:val="NICEnormalnumbered"/>
      </w:pPr>
      <w:r>
        <w:t>It is</w:t>
      </w:r>
      <w:r w:rsidR="00923AE9">
        <w:t xml:space="preserve"> further</w:t>
      </w:r>
      <w:r>
        <w:t xml:space="preserve"> assumed that the</w:t>
      </w:r>
      <w:r w:rsidR="00923AE9">
        <w:t xml:space="preserve"> operational impact the pandemic had on volumes and cost recovery will not be a significant issue in future years, with the number of evaluations started in the current financial year currently on track to meet the target of 88 topics per annum (with most of this income to be recognised in 2022-23).</w:t>
      </w:r>
      <w:r>
        <w:t xml:space="preserve"> </w:t>
      </w:r>
    </w:p>
    <w:p w14:paraId="0ECB21D6" w14:textId="6650E3FF" w:rsidR="00CA39CD" w:rsidRDefault="00923AE9" w:rsidP="00CA39CD">
      <w:pPr>
        <w:pStyle w:val="NICEnormalnumbered"/>
      </w:pPr>
      <w:r>
        <w:t xml:space="preserve">We </w:t>
      </w:r>
      <w:r w:rsidR="00CE5DD9">
        <w:t>will</w:t>
      </w:r>
      <w:r w:rsidR="00CE5DD9" w:rsidRPr="005B202D">
        <w:t xml:space="preserve"> </w:t>
      </w:r>
      <w:r w:rsidR="005E4334">
        <w:t>also</w:t>
      </w:r>
      <w:r w:rsidR="00883F77">
        <w:t xml:space="preserve"> continue our push to recruit to vacancies in the TA/HST programme to avoid future disruption caused by capacity issues, and we will</w:t>
      </w:r>
      <w:r w:rsidR="005E4334">
        <w:t xml:space="preserve"> </w:t>
      </w:r>
      <w:r w:rsidR="00CA39CD">
        <w:t xml:space="preserve">consider ways </w:t>
      </w:r>
      <w:r w:rsidR="005E4334">
        <w:t>to</w:t>
      </w:r>
      <w:r w:rsidR="00CA39CD" w:rsidRPr="005B202D">
        <w:t xml:space="preserve"> rec</w:t>
      </w:r>
      <w:r w:rsidR="00CA39CD">
        <w:t>oup</w:t>
      </w:r>
      <w:r w:rsidR="00CA39CD" w:rsidRPr="005B202D">
        <w:t xml:space="preserve"> costs</w:t>
      </w:r>
      <w:r>
        <w:t xml:space="preserve"> or reduce the amount of </w:t>
      </w:r>
      <w:r w:rsidR="00CA39CD" w:rsidRPr="005B202D">
        <w:t xml:space="preserve">additional </w:t>
      </w:r>
      <w:r w:rsidR="00CA39CD">
        <w:t xml:space="preserve">unplanned </w:t>
      </w:r>
      <w:r w:rsidR="005E4334">
        <w:t xml:space="preserve">activity </w:t>
      </w:r>
      <w:r w:rsidR="005820AA">
        <w:t>required</w:t>
      </w:r>
      <w:r w:rsidR="00CA39CD" w:rsidRPr="005B202D">
        <w:t xml:space="preserve"> to produce guidance. </w:t>
      </w:r>
    </w:p>
    <w:p w14:paraId="21DDB987" w14:textId="2D2B47B8" w:rsidR="00CA39CD" w:rsidRPr="005B202D" w:rsidRDefault="00CA39CD" w:rsidP="00E43AA0">
      <w:pPr>
        <w:pStyle w:val="NICEnormalnumbered"/>
      </w:pPr>
      <w:r>
        <w:lastRenderedPageBreak/>
        <w:t>The impact of the CHTE methods and processes changes</w:t>
      </w:r>
      <w:r w:rsidRPr="005B202D">
        <w:t xml:space="preserve"> and future ways of working</w:t>
      </w:r>
      <w:r w:rsidR="00FF6580">
        <w:t xml:space="preserve"> is outside the scope of this review. However, these changes when implemented may impact the fees charged in the future and this </w:t>
      </w:r>
      <w:r w:rsidRPr="005B202D">
        <w:t xml:space="preserve">will need to be considered in full at an appropriate time. </w:t>
      </w:r>
    </w:p>
    <w:p w14:paraId="7725D012" w14:textId="77777777" w:rsidR="004B4705" w:rsidRDefault="004B4705" w:rsidP="004B4705">
      <w:pPr>
        <w:pStyle w:val="Heading2boardreport"/>
      </w:pPr>
      <w:r>
        <w:t xml:space="preserve">Issues for decision </w:t>
      </w:r>
    </w:p>
    <w:p w14:paraId="475EDFC4" w14:textId="239ECC76" w:rsidR="004B4705" w:rsidRPr="004B4705" w:rsidRDefault="004B4705" w:rsidP="004B4705">
      <w:pPr>
        <w:pStyle w:val="NICEnormalnumbered"/>
      </w:pPr>
      <w:r>
        <w:t xml:space="preserve">The Board is asked to: </w:t>
      </w:r>
    </w:p>
    <w:p w14:paraId="158860DD" w14:textId="21E0E09F" w:rsidR="00465078" w:rsidRDefault="00465078" w:rsidP="007951B4">
      <w:pPr>
        <w:pStyle w:val="Bulletindent1last"/>
      </w:pPr>
      <w:r>
        <w:t>Review the report</w:t>
      </w:r>
      <w:r w:rsidR="009E0ED2">
        <w:t xml:space="preserve"> and recognise that</w:t>
      </w:r>
      <w:r w:rsidR="00E43AA0">
        <w:t xml:space="preserve"> whilst </w:t>
      </w:r>
      <w:r w:rsidR="00B32AED">
        <w:t>the introduction of fees for TA/HST has resulted in a steady increase in funding to offset reductions in grant-in-aid funding</w:t>
      </w:r>
      <w:r w:rsidR="00E43AA0">
        <w:t>, full cost recovery is yet to be achieved due to the limiting factors described</w:t>
      </w:r>
      <w:r w:rsidR="00B32AED">
        <w:t xml:space="preserve"> in this review</w:t>
      </w:r>
      <w:r w:rsidR="00E43AA0">
        <w:t>.</w:t>
      </w:r>
      <w:r w:rsidR="00B32AED">
        <w:t xml:space="preserve"> </w:t>
      </w:r>
    </w:p>
    <w:p w14:paraId="20E4599F" w14:textId="36F237A5" w:rsidR="007951B4" w:rsidRPr="007951B4" w:rsidRDefault="00465078" w:rsidP="007951B4">
      <w:pPr>
        <w:pStyle w:val="Bulletindent1last"/>
      </w:pPr>
      <w:r>
        <w:t>Acknowledge the</w:t>
      </w:r>
      <w:r w:rsidR="00B32AED">
        <w:t xml:space="preserve"> steps </w:t>
      </w:r>
      <w:r>
        <w:t>(such as increasing fees in line with pay inflation) that are being taken to reduce the deficit in cost recovery, along with an assumption that the impact the pandemic had on volumes and cost recovery will be less significant from 2022</w:t>
      </w:r>
      <w:r w:rsidR="00B93C53">
        <w:t>/</w:t>
      </w:r>
      <w:r>
        <w:t xml:space="preserve">23 onwards.  </w:t>
      </w:r>
    </w:p>
    <w:p w14:paraId="1103962C" w14:textId="77777777" w:rsidR="004B4705" w:rsidRDefault="004B4705" w:rsidP="004511A7">
      <w:pPr>
        <w:pStyle w:val="NICEnormal"/>
      </w:pPr>
    </w:p>
    <w:p w14:paraId="51A4BFCB" w14:textId="49066C99" w:rsidR="004B4705" w:rsidRPr="00DB6F82" w:rsidRDefault="004B4705" w:rsidP="004B4705">
      <w:pPr>
        <w:pStyle w:val="NICEnormal"/>
      </w:pPr>
      <w:r w:rsidRPr="00DB6F82">
        <w:t>© NICE</w:t>
      </w:r>
      <w:r w:rsidR="007951B4">
        <w:t xml:space="preserve"> 2022</w:t>
      </w:r>
      <w:r w:rsidRPr="00DB6F82">
        <w:t xml:space="preserve">. All rights reserved. </w:t>
      </w:r>
      <w:hyperlink r:id="rId13" w:anchor="notice-of-rights" w:history="1">
        <w:r w:rsidRPr="00DB6F82">
          <w:rPr>
            <w:rStyle w:val="Hyperlink"/>
          </w:rPr>
          <w:t>Subject to Notice of rights</w:t>
        </w:r>
      </w:hyperlink>
      <w:r w:rsidRPr="00DB6F82">
        <w:t>.</w:t>
      </w:r>
    </w:p>
    <w:p w14:paraId="385EB639" w14:textId="3355D8D1" w:rsidR="004B4705" w:rsidRDefault="007951B4" w:rsidP="004511A7">
      <w:pPr>
        <w:pStyle w:val="NICEnormal"/>
      </w:pPr>
      <w:r>
        <w:t>January 2022</w:t>
      </w:r>
    </w:p>
    <w:sectPr w:rsidR="004B4705" w:rsidSect="00B046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D357" w14:textId="77777777" w:rsidR="007951B4" w:rsidRDefault="007951B4">
      <w:r>
        <w:separator/>
      </w:r>
    </w:p>
  </w:endnote>
  <w:endnote w:type="continuationSeparator" w:id="0">
    <w:p w14:paraId="150915AC" w14:textId="77777777" w:rsidR="007951B4" w:rsidRDefault="007951B4">
      <w:r>
        <w:continuationSeparator/>
      </w:r>
    </w:p>
  </w:endnote>
  <w:endnote w:type="continuationNotice" w:id="1">
    <w:p w14:paraId="2AE13039" w14:textId="77777777" w:rsidR="00835C98" w:rsidRDefault="00835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CCFB" w14:textId="77777777" w:rsidR="004B4705" w:rsidRPr="002A231B" w:rsidRDefault="004B4705" w:rsidP="004B4705">
    <w:pPr>
      <w:pStyle w:val="Footer"/>
      <w:tabs>
        <w:tab w:val="right" w:pos="8931"/>
        <w:tab w:val="right" w:pos="13892"/>
      </w:tabs>
      <w:rPr>
        <w:szCs w:val="16"/>
      </w:rPr>
    </w:pPr>
    <w:r w:rsidRPr="002A231B">
      <w:rPr>
        <w:szCs w:val="16"/>
      </w:rPr>
      <w:t>National Institute for Health and Care Excellence</w:t>
    </w:r>
    <w:r w:rsidRPr="002A231B">
      <w:rPr>
        <w:szCs w:val="16"/>
      </w:rPr>
      <w:tab/>
    </w:r>
    <w:r w:rsidR="003B7BCF">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p w14:paraId="290281FF" w14:textId="77777777" w:rsidR="0043139B" w:rsidRDefault="0043139B" w:rsidP="004B4705">
    <w:pPr>
      <w:pStyle w:val="Footer"/>
    </w:pPr>
    <w:r w:rsidRPr="0043139B">
      <w:t>Technology Appraisals (TA) and Highly Specialised Technologies (HST) - Impact of charging regime</w:t>
    </w:r>
  </w:p>
  <w:p w14:paraId="45484D77" w14:textId="28C7C069" w:rsidR="004B4705" w:rsidRPr="002A231B" w:rsidRDefault="00B043B9" w:rsidP="004B4705">
    <w:pPr>
      <w:pStyle w:val="Footer"/>
      <w:rPr>
        <w:szCs w:val="16"/>
      </w:rPr>
    </w:pPr>
    <w:r>
      <w:t xml:space="preserve">Date: </w:t>
    </w:r>
    <w:r w:rsidR="0043139B">
      <w:t>19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A802" w14:textId="77777777" w:rsidR="007951B4" w:rsidRDefault="007951B4">
      <w:r>
        <w:separator/>
      </w:r>
    </w:p>
  </w:footnote>
  <w:footnote w:type="continuationSeparator" w:id="0">
    <w:p w14:paraId="678A13BB" w14:textId="77777777" w:rsidR="007951B4" w:rsidRDefault="007951B4">
      <w:r>
        <w:continuationSeparator/>
      </w:r>
    </w:p>
  </w:footnote>
  <w:footnote w:type="continuationNotice" w:id="1">
    <w:p w14:paraId="6A8B1025" w14:textId="77777777" w:rsidR="00835C98" w:rsidRDefault="00835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6B34" w14:textId="662471D9" w:rsidR="004B4705" w:rsidRDefault="004B4705" w:rsidP="004B4705">
    <w:pPr>
      <w:pStyle w:val="Header"/>
      <w:jc w:val="right"/>
    </w:pPr>
    <w:bookmarkStart w:id="4" w:name="_Hlk90907629"/>
    <w:bookmarkStart w:id="5" w:name="_Hlk90907630"/>
    <w:r w:rsidRPr="002A231B">
      <w:t xml:space="preserve">Item </w:t>
    </w:r>
    <w:bookmarkEnd w:id="4"/>
    <w:bookmarkEnd w:id="5"/>
    <w:r w:rsidR="00B043B9">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10B8E330"/>
    <w:lvl w:ilvl="0" w:tplc="58D8E12E">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0"/>
        </w:tabs>
        <w:ind w:left="1700"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AF33AA"/>
    <w:multiLevelType w:val="multilevel"/>
    <w:tmpl w:val="6CF6B3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15"/>
  </w:num>
  <w:num w:numId="4">
    <w:abstractNumId w:val="16"/>
  </w:num>
  <w:num w:numId="5">
    <w:abstractNumId w:val="4"/>
  </w:num>
  <w:num w:numId="6">
    <w:abstractNumId w:val="7"/>
  </w:num>
  <w:num w:numId="7">
    <w:abstractNumId w:val="12"/>
  </w:num>
  <w:num w:numId="8">
    <w:abstractNumId w:val="14"/>
  </w:num>
  <w:num w:numId="9">
    <w:abstractNumId w:val="18"/>
  </w:num>
  <w:num w:numId="10">
    <w:abstractNumId w:val="6"/>
  </w:num>
  <w:num w:numId="11">
    <w:abstractNumId w:val="22"/>
  </w:num>
  <w:num w:numId="12">
    <w:abstractNumId w:val="10"/>
  </w:num>
  <w:num w:numId="13">
    <w:abstractNumId w:val="17"/>
  </w:num>
  <w:num w:numId="14">
    <w:abstractNumId w:val="20"/>
  </w:num>
  <w:num w:numId="15">
    <w:abstractNumId w:val="11"/>
  </w:num>
  <w:num w:numId="16">
    <w:abstractNumId w:val="0"/>
  </w:num>
  <w:num w:numId="17">
    <w:abstractNumId w:val="1"/>
  </w:num>
  <w:num w:numId="18">
    <w:abstractNumId w:val="8"/>
  </w:num>
  <w:num w:numId="19">
    <w:abstractNumId w:val="13"/>
  </w:num>
  <w:num w:numId="20">
    <w:abstractNumId w:val="5"/>
  </w:num>
  <w:num w:numId="21">
    <w:abstractNumId w:val="23"/>
  </w:num>
  <w:num w:numId="22">
    <w:abstractNumId w:val="21"/>
  </w:num>
  <w:num w:numId="23">
    <w:abstractNumId w:val="25"/>
  </w:num>
  <w:num w:numId="24">
    <w:abstractNumId w:val="9"/>
  </w:num>
  <w:num w:numId="25">
    <w:abstractNumId w:val="3"/>
  </w:num>
  <w:num w:numId="26">
    <w:abstractNumId w:val="27"/>
  </w:num>
  <w:num w:numId="27">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AES" w:cryptAlgorithmClass="hash" w:cryptAlgorithmType="typeAny" w:cryptAlgorithmSid="14" w:cryptSpinCount="100000" w:hash="r2DYH/PJt8dGYLqj7+24NzKeOl6YMd44wK8+ZnQ+SscGD9CydOdweTT0UZNHOIVnw6UN5SznQS9KH8eaJR6ybQ==" w:salt="9N56L1HabfCdlpHzZBAtLQ=="/>
  <w:defaultTabStop w:val="720"/>
  <w:characterSpacingControl w:val="doNotCompress"/>
  <w:hdrShapeDefaults>
    <o:shapedefaults v:ext="edit" spidmax="6145">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B4"/>
    <w:rsid w:val="000119FB"/>
    <w:rsid w:val="000219FE"/>
    <w:rsid w:val="000242AA"/>
    <w:rsid w:val="00036BD4"/>
    <w:rsid w:val="00045EA1"/>
    <w:rsid w:val="00060F1B"/>
    <w:rsid w:val="000A1EC0"/>
    <w:rsid w:val="000A6C9B"/>
    <w:rsid w:val="000B242F"/>
    <w:rsid w:val="000C1C42"/>
    <w:rsid w:val="000C3F75"/>
    <w:rsid w:val="000C4168"/>
    <w:rsid w:val="000D09DC"/>
    <w:rsid w:val="000E6C5F"/>
    <w:rsid w:val="00101F34"/>
    <w:rsid w:val="0011639D"/>
    <w:rsid w:val="001172E1"/>
    <w:rsid w:val="001219F1"/>
    <w:rsid w:val="00123D3F"/>
    <w:rsid w:val="00131EB8"/>
    <w:rsid w:val="00137E5E"/>
    <w:rsid w:val="00145581"/>
    <w:rsid w:val="00147492"/>
    <w:rsid w:val="00154F85"/>
    <w:rsid w:val="00160031"/>
    <w:rsid w:val="00161AA0"/>
    <w:rsid w:val="00170E7B"/>
    <w:rsid w:val="00184410"/>
    <w:rsid w:val="00195295"/>
    <w:rsid w:val="001A3231"/>
    <w:rsid w:val="001B0506"/>
    <w:rsid w:val="001B0F79"/>
    <w:rsid w:val="001C032E"/>
    <w:rsid w:val="001C3944"/>
    <w:rsid w:val="001D5C4B"/>
    <w:rsid w:val="001E2E94"/>
    <w:rsid w:val="002169E7"/>
    <w:rsid w:val="00217DDB"/>
    <w:rsid w:val="00222680"/>
    <w:rsid w:val="00235CAB"/>
    <w:rsid w:val="00251D56"/>
    <w:rsid w:val="002526E6"/>
    <w:rsid w:val="002535B1"/>
    <w:rsid w:val="002630F8"/>
    <w:rsid w:val="00287DE6"/>
    <w:rsid w:val="00292FEC"/>
    <w:rsid w:val="002A3712"/>
    <w:rsid w:val="002C05BA"/>
    <w:rsid w:val="002C1BBF"/>
    <w:rsid w:val="002C3FAA"/>
    <w:rsid w:val="002F0E3B"/>
    <w:rsid w:val="002F15CF"/>
    <w:rsid w:val="002F621F"/>
    <w:rsid w:val="003024BB"/>
    <w:rsid w:val="003130CD"/>
    <w:rsid w:val="0031664C"/>
    <w:rsid w:val="003330E6"/>
    <w:rsid w:val="00353D3E"/>
    <w:rsid w:val="0035771B"/>
    <w:rsid w:val="00362226"/>
    <w:rsid w:val="003732A2"/>
    <w:rsid w:val="00377E36"/>
    <w:rsid w:val="003B1379"/>
    <w:rsid w:val="003B1CBA"/>
    <w:rsid w:val="003B7BCF"/>
    <w:rsid w:val="003C0F3F"/>
    <w:rsid w:val="003C36AC"/>
    <w:rsid w:val="003D199F"/>
    <w:rsid w:val="003F296F"/>
    <w:rsid w:val="0043139B"/>
    <w:rsid w:val="00434B86"/>
    <w:rsid w:val="00443B0C"/>
    <w:rsid w:val="004451BC"/>
    <w:rsid w:val="00451003"/>
    <w:rsid w:val="004511A7"/>
    <w:rsid w:val="004519B2"/>
    <w:rsid w:val="00461997"/>
    <w:rsid w:val="00465078"/>
    <w:rsid w:val="00466A93"/>
    <w:rsid w:val="00474107"/>
    <w:rsid w:val="004749E8"/>
    <w:rsid w:val="004820E9"/>
    <w:rsid w:val="0048361F"/>
    <w:rsid w:val="00484FE9"/>
    <w:rsid w:val="00485B88"/>
    <w:rsid w:val="004914C0"/>
    <w:rsid w:val="004B4705"/>
    <w:rsid w:val="004B514C"/>
    <w:rsid w:val="004D42F4"/>
    <w:rsid w:val="004D46B6"/>
    <w:rsid w:val="00526C07"/>
    <w:rsid w:val="0053387C"/>
    <w:rsid w:val="00547749"/>
    <w:rsid w:val="00555763"/>
    <w:rsid w:val="005614AA"/>
    <w:rsid w:val="00564AA4"/>
    <w:rsid w:val="00570AFB"/>
    <w:rsid w:val="00574C23"/>
    <w:rsid w:val="00576839"/>
    <w:rsid w:val="005820AA"/>
    <w:rsid w:val="005860F4"/>
    <w:rsid w:val="005866B1"/>
    <w:rsid w:val="005A38E6"/>
    <w:rsid w:val="005A5E10"/>
    <w:rsid w:val="005B04E5"/>
    <w:rsid w:val="005C051F"/>
    <w:rsid w:val="005C762E"/>
    <w:rsid w:val="005D098C"/>
    <w:rsid w:val="005D0E5B"/>
    <w:rsid w:val="005D649A"/>
    <w:rsid w:val="005E4334"/>
    <w:rsid w:val="005F1A80"/>
    <w:rsid w:val="005F671C"/>
    <w:rsid w:val="00603E56"/>
    <w:rsid w:val="0060662A"/>
    <w:rsid w:val="00614BDA"/>
    <w:rsid w:val="00615CC8"/>
    <w:rsid w:val="00617519"/>
    <w:rsid w:val="006303C9"/>
    <w:rsid w:val="006331B4"/>
    <w:rsid w:val="006343F3"/>
    <w:rsid w:val="0063639F"/>
    <w:rsid w:val="00642906"/>
    <w:rsid w:val="0065125F"/>
    <w:rsid w:val="006549B5"/>
    <w:rsid w:val="006571D4"/>
    <w:rsid w:val="00680B94"/>
    <w:rsid w:val="006A3ADC"/>
    <w:rsid w:val="006A721F"/>
    <w:rsid w:val="006D73F1"/>
    <w:rsid w:val="006E1DA4"/>
    <w:rsid w:val="006E4745"/>
    <w:rsid w:val="006E7B46"/>
    <w:rsid w:val="006F6F0F"/>
    <w:rsid w:val="00725D6E"/>
    <w:rsid w:val="007277C3"/>
    <w:rsid w:val="00732519"/>
    <w:rsid w:val="00737F9C"/>
    <w:rsid w:val="00740814"/>
    <w:rsid w:val="0077230C"/>
    <w:rsid w:val="0077599F"/>
    <w:rsid w:val="007771DF"/>
    <w:rsid w:val="00784721"/>
    <w:rsid w:val="007944AA"/>
    <w:rsid w:val="007951B4"/>
    <w:rsid w:val="007A174B"/>
    <w:rsid w:val="007A4EEE"/>
    <w:rsid w:val="007C4958"/>
    <w:rsid w:val="007D111E"/>
    <w:rsid w:val="007E00F2"/>
    <w:rsid w:val="007E173D"/>
    <w:rsid w:val="008150F0"/>
    <w:rsid w:val="008174FC"/>
    <w:rsid w:val="008314D6"/>
    <w:rsid w:val="00835C98"/>
    <w:rsid w:val="00846330"/>
    <w:rsid w:val="008476F8"/>
    <w:rsid w:val="008505C3"/>
    <w:rsid w:val="00862C0C"/>
    <w:rsid w:val="00865B4F"/>
    <w:rsid w:val="00873313"/>
    <w:rsid w:val="00875883"/>
    <w:rsid w:val="00881C86"/>
    <w:rsid w:val="00883C6D"/>
    <w:rsid w:val="00883F77"/>
    <w:rsid w:val="008853CB"/>
    <w:rsid w:val="008A3CB5"/>
    <w:rsid w:val="008A6557"/>
    <w:rsid w:val="008B4DC2"/>
    <w:rsid w:val="008C12AE"/>
    <w:rsid w:val="008C782E"/>
    <w:rsid w:val="008D6069"/>
    <w:rsid w:val="008E402B"/>
    <w:rsid w:val="008E7585"/>
    <w:rsid w:val="0090283F"/>
    <w:rsid w:val="009150B1"/>
    <w:rsid w:val="00921354"/>
    <w:rsid w:val="00923AE9"/>
    <w:rsid w:val="00936CBD"/>
    <w:rsid w:val="0094250A"/>
    <w:rsid w:val="0094366C"/>
    <w:rsid w:val="009437A4"/>
    <w:rsid w:val="00953ADF"/>
    <w:rsid w:val="00971131"/>
    <w:rsid w:val="00972B8F"/>
    <w:rsid w:val="009765BC"/>
    <w:rsid w:val="009871F3"/>
    <w:rsid w:val="00990662"/>
    <w:rsid w:val="009953A3"/>
    <w:rsid w:val="009A0289"/>
    <w:rsid w:val="009B621A"/>
    <w:rsid w:val="009C45D9"/>
    <w:rsid w:val="009E0ED2"/>
    <w:rsid w:val="00A0233F"/>
    <w:rsid w:val="00A06657"/>
    <w:rsid w:val="00A20012"/>
    <w:rsid w:val="00A21BB5"/>
    <w:rsid w:val="00A21F2F"/>
    <w:rsid w:val="00A24C1C"/>
    <w:rsid w:val="00A33B40"/>
    <w:rsid w:val="00A359CC"/>
    <w:rsid w:val="00A36575"/>
    <w:rsid w:val="00A74CA7"/>
    <w:rsid w:val="00A848BB"/>
    <w:rsid w:val="00A86D3D"/>
    <w:rsid w:val="00A87808"/>
    <w:rsid w:val="00A956DE"/>
    <w:rsid w:val="00AB2948"/>
    <w:rsid w:val="00AB39FA"/>
    <w:rsid w:val="00AD5CB7"/>
    <w:rsid w:val="00AD5E0B"/>
    <w:rsid w:val="00AD6933"/>
    <w:rsid w:val="00AD6B7B"/>
    <w:rsid w:val="00B043B9"/>
    <w:rsid w:val="00B0463B"/>
    <w:rsid w:val="00B15262"/>
    <w:rsid w:val="00B32AED"/>
    <w:rsid w:val="00B37137"/>
    <w:rsid w:val="00B4047B"/>
    <w:rsid w:val="00B60D70"/>
    <w:rsid w:val="00B80259"/>
    <w:rsid w:val="00B83B7B"/>
    <w:rsid w:val="00B84BC1"/>
    <w:rsid w:val="00B93C53"/>
    <w:rsid w:val="00BA0179"/>
    <w:rsid w:val="00BA51EA"/>
    <w:rsid w:val="00BA589F"/>
    <w:rsid w:val="00BB047B"/>
    <w:rsid w:val="00BB6398"/>
    <w:rsid w:val="00BB71D1"/>
    <w:rsid w:val="00BC0E86"/>
    <w:rsid w:val="00BC3102"/>
    <w:rsid w:val="00BD0372"/>
    <w:rsid w:val="00BD246E"/>
    <w:rsid w:val="00BE1DE0"/>
    <w:rsid w:val="00BE7D02"/>
    <w:rsid w:val="00BF4768"/>
    <w:rsid w:val="00C00E31"/>
    <w:rsid w:val="00C139CA"/>
    <w:rsid w:val="00C16981"/>
    <w:rsid w:val="00C170E9"/>
    <w:rsid w:val="00C37BE0"/>
    <w:rsid w:val="00C43279"/>
    <w:rsid w:val="00C433C5"/>
    <w:rsid w:val="00C51429"/>
    <w:rsid w:val="00C54A23"/>
    <w:rsid w:val="00C64F67"/>
    <w:rsid w:val="00C900CC"/>
    <w:rsid w:val="00C9159E"/>
    <w:rsid w:val="00CA3397"/>
    <w:rsid w:val="00CA33E1"/>
    <w:rsid w:val="00CA39CD"/>
    <w:rsid w:val="00CB6BEB"/>
    <w:rsid w:val="00CC5DD8"/>
    <w:rsid w:val="00CD47AD"/>
    <w:rsid w:val="00CE195D"/>
    <w:rsid w:val="00CE5B13"/>
    <w:rsid w:val="00CE5DD9"/>
    <w:rsid w:val="00CE7855"/>
    <w:rsid w:val="00CF3ACA"/>
    <w:rsid w:val="00D017B3"/>
    <w:rsid w:val="00D3612A"/>
    <w:rsid w:val="00D37703"/>
    <w:rsid w:val="00D37F25"/>
    <w:rsid w:val="00D453F6"/>
    <w:rsid w:val="00D60D8D"/>
    <w:rsid w:val="00D670E8"/>
    <w:rsid w:val="00D73C98"/>
    <w:rsid w:val="00D82833"/>
    <w:rsid w:val="00D84CB3"/>
    <w:rsid w:val="00D85A80"/>
    <w:rsid w:val="00DA11DD"/>
    <w:rsid w:val="00DA15D7"/>
    <w:rsid w:val="00DC0120"/>
    <w:rsid w:val="00DE643F"/>
    <w:rsid w:val="00E113D6"/>
    <w:rsid w:val="00E2509B"/>
    <w:rsid w:val="00E25783"/>
    <w:rsid w:val="00E31E4D"/>
    <w:rsid w:val="00E43AA0"/>
    <w:rsid w:val="00E4622C"/>
    <w:rsid w:val="00E46571"/>
    <w:rsid w:val="00E50D00"/>
    <w:rsid w:val="00E51FFB"/>
    <w:rsid w:val="00E63855"/>
    <w:rsid w:val="00E65672"/>
    <w:rsid w:val="00E66BFF"/>
    <w:rsid w:val="00E91671"/>
    <w:rsid w:val="00E94BAB"/>
    <w:rsid w:val="00E95993"/>
    <w:rsid w:val="00EB03BB"/>
    <w:rsid w:val="00EB1C36"/>
    <w:rsid w:val="00EB5A58"/>
    <w:rsid w:val="00EC2B40"/>
    <w:rsid w:val="00EC2D22"/>
    <w:rsid w:val="00ED02E4"/>
    <w:rsid w:val="00ED1758"/>
    <w:rsid w:val="00ED5493"/>
    <w:rsid w:val="00EE2EB2"/>
    <w:rsid w:val="00EE347D"/>
    <w:rsid w:val="00EE406C"/>
    <w:rsid w:val="00EF151F"/>
    <w:rsid w:val="00F054CE"/>
    <w:rsid w:val="00F07534"/>
    <w:rsid w:val="00F17137"/>
    <w:rsid w:val="00F24744"/>
    <w:rsid w:val="00F26A9F"/>
    <w:rsid w:val="00F26E68"/>
    <w:rsid w:val="00F33119"/>
    <w:rsid w:val="00F62A31"/>
    <w:rsid w:val="00F66CF5"/>
    <w:rsid w:val="00F73C47"/>
    <w:rsid w:val="00F81F2C"/>
    <w:rsid w:val="00F82467"/>
    <w:rsid w:val="00F90E63"/>
    <w:rsid w:val="00FA66A6"/>
    <w:rsid w:val="00FA6EE7"/>
    <w:rsid w:val="00FB47DD"/>
    <w:rsid w:val="00FB6164"/>
    <w:rsid w:val="00FB73D3"/>
    <w:rsid w:val="00FD0B68"/>
    <w:rsid w:val="00FD4756"/>
    <w:rsid w:val="00FE1819"/>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06"/>
    </o:shapedefaults>
    <o:shapelayout v:ext="edit">
      <o:idmap v:ext="edit" data="1"/>
    </o:shapelayout>
  </w:shapeDefaults>
  <w:decimalSymbol w:val="."/>
  <w:listSeparator w:val=","/>
  <w14:docId w14:val="64C54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tabs>
        <w:tab w:val="clear" w:pos="1700"/>
        <w:tab w:val="num" w:pos="1701"/>
      </w:tabs>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EB1C36"/>
    <w:pPr>
      <w:numPr>
        <w:numId w:val="25"/>
      </w:numPr>
      <w:tabs>
        <w:tab w:val="left" w:pos="426"/>
      </w:tabs>
    </w:p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CommentSubject">
    <w:name w:val="annotation subject"/>
    <w:basedOn w:val="CommentText"/>
    <w:next w:val="CommentText"/>
    <w:link w:val="CommentSubjectChar"/>
    <w:rsid w:val="00CD47AD"/>
    <w:rPr>
      <w:b/>
      <w:bCs/>
      <w:lang w:eastAsia="en-US"/>
    </w:rPr>
  </w:style>
  <w:style w:type="character" w:customStyle="1" w:styleId="CommentSubjectChar">
    <w:name w:val="Comment Subject Char"/>
    <w:basedOn w:val="CommentTextChar"/>
    <w:link w:val="CommentSubject"/>
    <w:rsid w:val="00CD47AD"/>
    <w:rPr>
      <w:b/>
      <w:bCs/>
      <w:lang w:eastAsia="en-US"/>
    </w:rPr>
  </w:style>
  <w:style w:type="paragraph" w:styleId="Revision">
    <w:name w:val="Revision"/>
    <w:hidden/>
    <w:uiPriority w:val="99"/>
    <w:semiHidden/>
    <w:rsid w:val="005E4334"/>
    <w:rPr>
      <w:sz w:val="24"/>
      <w:szCs w:val="24"/>
      <w:lang w:eastAsia="en-US"/>
    </w:rPr>
  </w:style>
  <w:style w:type="table" w:styleId="PlainTable1">
    <w:name w:val="Plain Table 1"/>
    <w:basedOn w:val="TableNormal"/>
    <w:uiPriority w:val="41"/>
    <w:rsid w:val="00FB61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rsid w:val="008476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218">
      <w:bodyDiv w:val="1"/>
      <w:marLeft w:val="0"/>
      <w:marRight w:val="0"/>
      <w:marTop w:val="0"/>
      <w:marBottom w:val="0"/>
      <w:divBdr>
        <w:top w:val="none" w:sz="0" w:space="0" w:color="auto"/>
        <w:left w:val="none" w:sz="0" w:space="0" w:color="auto"/>
        <w:bottom w:val="none" w:sz="0" w:space="0" w:color="auto"/>
        <w:right w:val="none" w:sz="0" w:space="0" w:color="auto"/>
      </w:divBdr>
    </w:div>
    <w:div w:id="334842735">
      <w:bodyDiv w:val="1"/>
      <w:marLeft w:val="0"/>
      <w:marRight w:val="0"/>
      <w:marTop w:val="0"/>
      <w:marBottom w:val="0"/>
      <w:divBdr>
        <w:top w:val="none" w:sz="0" w:space="0" w:color="auto"/>
        <w:left w:val="none" w:sz="0" w:space="0" w:color="auto"/>
        <w:bottom w:val="none" w:sz="0" w:space="0" w:color="auto"/>
        <w:right w:val="none" w:sz="0" w:space="0" w:color="auto"/>
      </w:divBdr>
    </w:div>
    <w:div w:id="339552600">
      <w:bodyDiv w:val="1"/>
      <w:marLeft w:val="0"/>
      <w:marRight w:val="0"/>
      <w:marTop w:val="0"/>
      <w:marBottom w:val="0"/>
      <w:divBdr>
        <w:top w:val="none" w:sz="0" w:space="0" w:color="auto"/>
        <w:left w:val="none" w:sz="0" w:space="0" w:color="auto"/>
        <w:bottom w:val="none" w:sz="0" w:space="0" w:color="auto"/>
        <w:right w:val="none" w:sz="0" w:space="0" w:color="auto"/>
      </w:divBdr>
    </w:div>
    <w:div w:id="403534171">
      <w:bodyDiv w:val="1"/>
      <w:marLeft w:val="0"/>
      <w:marRight w:val="0"/>
      <w:marTop w:val="0"/>
      <w:marBottom w:val="0"/>
      <w:divBdr>
        <w:top w:val="none" w:sz="0" w:space="0" w:color="auto"/>
        <w:left w:val="none" w:sz="0" w:space="0" w:color="auto"/>
        <w:bottom w:val="none" w:sz="0" w:space="0" w:color="auto"/>
        <w:right w:val="none" w:sz="0" w:space="0" w:color="auto"/>
      </w:divBdr>
    </w:div>
    <w:div w:id="494029742">
      <w:bodyDiv w:val="1"/>
      <w:marLeft w:val="0"/>
      <w:marRight w:val="0"/>
      <w:marTop w:val="0"/>
      <w:marBottom w:val="0"/>
      <w:divBdr>
        <w:top w:val="none" w:sz="0" w:space="0" w:color="auto"/>
        <w:left w:val="none" w:sz="0" w:space="0" w:color="auto"/>
        <w:bottom w:val="none" w:sz="0" w:space="0" w:color="auto"/>
        <w:right w:val="none" w:sz="0" w:space="0" w:color="auto"/>
      </w:divBdr>
    </w:div>
    <w:div w:id="588195809">
      <w:bodyDiv w:val="1"/>
      <w:marLeft w:val="0"/>
      <w:marRight w:val="0"/>
      <w:marTop w:val="0"/>
      <w:marBottom w:val="0"/>
      <w:divBdr>
        <w:top w:val="none" w:sz="0" w:space="0" w:color="auto"/>
        <w:left w:val="none" w:sz="0" w:space="0" w:color="auto"/>
        <w:bottom w:val="none" w:sz="0" w:space="0" w:color="auto"/>
        <w:right w:val="none" w:sz="0" w:space="0" w:color="auto"/>
      </w:divBdr>
    </w:div>
    <w:div w:id="605773985">
      <w:bodyDiv w:val="1"/>
      <w:marLeft w:val="0"/>
      <w:marRight w:val="0"/>
      <w:marTop w:val="0"/>
      <w:marBottom w:val="0"/>
      <w:divBdr>
        <w:top w:val="none" w:sz="0" w:space="0" w:color="auto"/>
        <w:left w:val="none" w:sz="0" w:space="0" w:color="auto"/>
        <w:bottom w:val="none" w:sz="0" w:space="0" w:color="auto"/>
        <w:right w:val="none" w:sz="0" w:space="0" w:color="auto"/>
      </w:divBdr>
    </w:div>
    <w:div w:id="887305046">
      <w:bodyDiv w:val="1"/>
      <w:marLeft w:val="0"/>
      <w:marRight w:val="0"/>
      <w:marTop w:val="0"/>
      <w:marBottom w:val="0"/>
      <w:divBdr>
        <w:top w:val="none" w:sz="0" w:space="0" w:color="auto"/>
        <w:left w:val="none" w:sz="0" w:space="0" w:color="auto"/>
        <w:bottom w:val="none" w:sz="0" w:space="0" w:color="auto"/>
        <w:right w:val="none" w:sz="0" w:space="0" w:color="auto"/>
      </w:divBdr>
    </w:div>
    <w:div w:id="1082531602">
      <w:bodyDiv w:val="1"/>
      <w:marLeft w:val="0"/>
      <w:marRight w:val="0"/>
      <w:marTop w:val="0"/>
      <w:marBottom w:val="0"/>
      <w:divBdr>
        <w:top w:val="none" w:sz="0" w:space="0" w:color="auto"/>
        <w:left w:val="none" w:sz="0" w:space="0" w:color="auto"/>
        <w:bottom w:val="none" w:sz="0" w:space="0" w:color="auto"/>
        <w:right w:val="none" w:sz="0" w:space="0" w:color="auto"/>
      </w:divBdr>
    </w:div>
    <w:div w:id="1160078362">
      <w:bodyDiv w:val="1"/>
      <w:marLeft w:val="0"/>
      <w:marRight w:val="0"/>
      <w:marTop w:val="0"/>
      <w:marBottom w:val="0"/>
      <w:divBdr>
        <w:top w:val="none" w:sz="0" w:space="0" w:color="auto"/>
        <w:left w:val="none" w:sz="0" w:space="0" w:color="auto"/>
        <w:bottom w:val="none" w:sz="0" w:space="0" w:color="auto"/>
        <w:right w:val="none" w:sz="0" w:space="0" w:color="auto"/>
      </w:divBdr>
    </w:div>
    <w:div w:id="1378705631">
      <w:bodyDiv w:val="1"/>
      <w:marLeft w:val="0"/>
      <w:marRight w:val="0"/>
      <w:marTop w:val="0"/>
      <w:marBottom w:val="0"/>
      <w:divBdr>
        <w:top w:val="none" w:sz="0" w:space="0" w:color="auto"/>
        <w:left w:val="none" w:sz="0" w:space="0" w:color="auto"/>
        <w:bottom w:val="none" w:sz="0" w:space="0" w:color="auto"/>
        <w:right w:val="none" w:sz="0" w:space="0" w:color="auto"/>
      </w:divBdr>
    </w:div>
    <w:div w:id="1428425033">
      <w:bodyDiv w:val="1"/>
      <w:marLeft w:val="0"/>
      <w:marRight w:val="0"/>
      <w:marTop w:val="0"/>
      <w:marBottom w:val="0"/>
      <w:divBdr>
        <w:top w:val="none" w:sz="0" w:space="0" w:color="auto"/>
        <w:left w:val="none" w:sz="0" w:space="0" w:color="auto"/>
        <w:bottom w:val="none" w:sz="0" w:space="0" w:color="auto"/>
        <w:right w:val="none" w:sz="0" w:space="0" w:color="auto"/>
      </w:divBdr>
    </w:div>
    <w:div w:id="1568612683">
      <w:bodyDiv w:val="1"/>
      <w:marLeft w:val="0"/>
      <w:marRight w:val="0"/>
      <w:marTop w:val="0"/>
      <w:marBottom w:val="0"/>
      <w:divBdr>
        <w:top w:val="none" w:sz="0" w:space="0" w:color="auto"/>
        <w:left w:val="none" w:sz="0" w:space="0" w:color="auto"/>
        <w:bottom w:val="none" w:sz="0" w:space="0" w:color="auto"/>
        <w:right w:val="none" w:sz="0" w:space="0" w:color="auto"/>
      </w:divBdr>
    </w:div>
    <w:div w:id="1615404652">
      <w:bodyDiv w:val="1"/>
      <w:marLeft w:val="0"/>
      <w:marRight w:val="0"/>
      <w:marTop w:val="0"/>
      <w:marBottom w:val="0"/>
      <w:divBdr>
        <w:top w:val="none" w:sz="0" w:space="0" w:color="auto"/>
        <w:left w:val="none" w:sz="0" w:space="0" w:color="auto"/>
        <w:bottom w:val="none" w:sz="0" w:space="0" w:color="auto"/>
        <w:right w:val="none" w:sz="0" w:space="0" w:color="auto"/>
      </w:divBdr>
    </w:div>
    <w:div w:id="1698042363">
      <w:bodyDiv w:val="1"/>
      <w:marLeft w:val="0"/>
      <w:marRight w:val="0"/>
      <w:marTop w:val="0"/>
      <w:marBottom w:val="0"/>
      <w:divBdr>
        <w:top w:val="none" w:sz="0" w:space="0" w:color="auto"/>
        <w:left w:val="none" w:sz="0" w:space="0" w:color="auto"/>
        <w:bottom w:val="none" w:sz="0" w:space="0" w:color="auto"/>
        <w:right w:val="none" w:sz="0" w:space="0" w:color="auto"/>
      </w:divBdr>
    </w:div>
    <w:div w:id="1746486433">
      <w:bodyDiv w:val="1"/>
      <w:marLeft w:val="0"/>
      <w:marRight w:val="0"/>
      <w:marTop w:val="0"/>
      <w:marBottom w:val="0"/>
      <w:divBdr>
        <w:top w:val="none" w:sz="0" w:space="0" w:color="auto"/>
        <w:left w:val="none" w:sz="0" w:space="0" w:color="auto"/>
        <w:bottom w:val="none" w:sz="0" w:space="0" w:color="auto"/>
        <w:right w:val="none" w:sz="0" w:space="0" w:color="auto"/>
      </w:divBdr>
    </w:div>
    <w:div w:id="1802457043">
      <w:bodyDiv w:val="1"/>
      <w:marLeft w:val="0"/>
      <w:marRight w:val="0"/>
      <w:marTop w:val="0"/>
      <w:marBottom w:val="0"/>
      <w:divBdr>
        <w:top w:val="none" w:sz="0" w:space="0" w:color="auto"/>
        <w:left w:val="none" w:sz="0" w:space="0" w:color="auto"/>
        <w:bottom w:val="none" w:sz="0" w:space="0" w:color="auto"/>
        <w:right w:val="none" w:sz="0" w:space="0" w:color="auto"/>
      </w:divBdr>
    </w:div>
    <w:div w:id="20518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62725/government-response-to-nice-recommendations-consultation.pdf" TargetMode="External"/><Relationship Id="rId13"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Summary!$B$8</c:f>
              <c:strCache>
                <c:ptCount val="1"/>
                <c:pt idx="0">
                  <c:v>Total income</c:v>
                </c:pt>
              </c:strCache>
            </c:strRef>
          </c:tx>
          <c:spPr>
            <a:solidFill>
              <a:srgbClr val="004650"/>
            </a:solidFill>
            <a:ln>
              <a:noFill/>
            </a:ln>
            <a:effectLst/>
          </c:spPr>
          <c:invertIfNegative val="0"/>
          <c:cat>
            <c:strRef>
              <c:f>Summary!$C$2:$E$2</c:f>
              <c:strCache>
                <c:ptCount val="3"/>
                <c:pt idx="0">
                  <c:v>2019-20</c:v>
                </c:pt>
                <c:pt idx="1">
                  <c:v>2020-21</c:v>
                </c:pt>
                <c:pt idx="2">
                  <c:v>2021-22 (Forecast)</c:v>
                </c:pt>
              </c:strCache>
            </c:strRef>
          </c:cat>
          <c:val>
            <c:numRef>
              <c:f>Summary!$C$8:$E$8</c:f>
              <c:numCache>
                <c:formatCode>#,##0_);\(#,##0\)</c:formatCode>
                <c:ptCount val="3"/>
                <c:pt idx="0">
                  <c:v>3582250</c:v>
                </c:pt>
                <c:pt idx="1">
                  <c:v>7034858.3300000001</c:v>
                </c:pt>
                <c:pt idx="2">
                  <c:v>8499999.6999999993</c:v>
                </c:pt>
              </c:numCache>
            </c:numRef>
          </c:val>
          <c:extLst>
            <c:ext xmlns:c16="http://schemas.microsoft.com/office/drawing/2014/chart" uri="{C3380CC4-5D6E-409C-BE32-E72D297353CC}">
              <c16:uniqueId val="{00000000-95D9-40D7-8714-53F9FE9F4DDD}"/>
            </c:ext>
          </c:extLst>
        </c:ser>
        <c:dLbls>
          <c:showLegendKey val="0"/>
          <c:showVal val="0"/>
          <c:showCatName val="0"/>
          <c:showSerName val="0"/>
          <c:showPercent val="0"/>
          <c:showBubbleSize val="0"/>
        </c:dLbls>
        <c:gapWidth val="150"/>
        <c:overlap val="100"/>
        <c:axId val="891299440"/>
        <c:axId val="878598752"/>
      </c:barChart>
      <c:lineChart>
        <c:grouping val="standard"/>
        <c:varyColors val="0"/>
        <c:ser>
          <c:idx val="0"/>
          <c:order val="0"/>
          <c:tx>
            <c:strRef>
              <c:f>Summary!$B$7</c:f>
              <c:strCache>
                <c:ptCount val="1"/>
                <c:pt idx="0">
                  <c:v>Total costs</c:v>
                </c:pt>
              </c:strCache>
            </c:strRef>
          </c:tx>
          <c:spPr>
            <a:ln w="28575" cap="rnd">
              <a:noFill/>
              <a:round/>
            </a:ln>
            <a:effectLst/>
          </c:spPr>
          <c:marker>
            <c:symbol val="dash"/>
            <c:size val="20"/>
            <c:spPr>
              <a:solidFill>
                <a:srgbClr val="FF0000"/>
              </a:solidFill>
              <a:ln w="9525">
                <a:solidFill>
                  <a:srgbClr val="FF0000"/>
                </a:solidFill>
              </a:ln>
              <a:effectLst/>
            </c:spPr>
          </c:marker>
          <c:cat>
            <c:strRef>
              <c:f>Summary!$C$2:$E$2</c:f>
              <c:strCache>
                <c:ptCount val="3"/>
                <c:pt idx="0">
                  <c:v>2019-20</c:v>
                </c:pt>
                <c:pt idx="1">
                  <c:v>2020-21</c:v>
                </c:pt>
                <c:pt idx="2">
                  <c:v>2021-22 (Forecast)</c:v>
                </c:pt>
              </c:strCache>
            </c:strRef>
          </c:cat>
          <c:val>
            <c:numRef>
              <c:f>Summary!$C$7:$E$7</c:f>
              <c:numCache>
                <c:formatCode>#,##0_);\(#,##0\)</c:formatCode>
                <c:ptCount val="3"/>
                <c:pt idx="0">
                  <c:v>9458107.8471234348</c:v>
                </c:pt>
                <c:pt idx="1">
                  <c:v>10710528.644835705</c:v>
                </c:pt>
                <c:pt idx="2">
                  <c:v>11436553.978619616</c:v>
                </c:pt>
              </c:numCache>
            </c:numRef>
          </c:val>
          <c:smooth val="0"/>
          <c:extLst>
            <c:ext xmlns:c16="http://schemas.microsoft.com/office/drawing/2014/chart" uri="{C3380CC4-5D6E-409C-BE32-E72D297353CC}">
              <c16:uniqueId val="{00000001-95D9-40D7-8714-53F9FE9F4DDD}"/>
            </c:ext>
          </c:extLst>
        </c:ser>
        <c:dLbls>
          <c:showLegendKey val="0"/>
          <c:showVal val="0"/>
          <c:showCatName val="0"/>
          <c:showSerName val="0"/>
          <c:showPercent val="0"/>
          <c:showBubbleSize val="0"/>
        </c:dLbls>
        <c:marker val="1"/>
        <c:smooth val="0"/>
        <c:axId val="891299440"/>
        <c:axId val="878598752"/>
      </c:lineChart>
      <c:catAx>
        <c:axId val="89129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crossAx val="878598752"/>
        <c:crosses val="autoZero"/>
        <c:auto val="1"/>
        <c:lblAlgn val="ctr"/>
        <c:lblOffset val="100"/>
        <c:noMultiLvlLbl val="0"/>
      </c:catAx>
      <c:valAx>
        <c:axId val="878598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r>
                  <a:rPr lang="en-US" b="1"/>
                  <a:t>£m</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crossAx val="891299440"/>
        <c:crosses val="autoZero"/>
        <c:crossBetween val="between"/>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Lato" panose="020F0502020204030203" pitchFamily="34" charset="0"/>
          <a:ea typeface="Lato" panose="020F0502020204030203" pitchFamily="34" charset="0"/>
          <a:cs typeface="Lato" panose="020F050202020403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r>
              <a:rPr lang="en-US"/>
              <a:t>Total number of publications as at 30 September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title>
    <c:autoTitleDeleted val="0"/>
    <c:plotArea>
      <c:layout/>
      <c:barChart>
        <c:barDir val="col"/>
        <c:grouping val="stacked"/>
        <c:varyColors val="0"/>
        <c:ser>
          <c:idx val="0"/>
          <c:order val="0"/>
          <c:tx>
            <c:strRef>
              <c:f>Summary!$M$52</c:f>
              <c:strCache>
                <c:ptCount val="1"/>
                <c:pt idx="0">
                  <c:v>Not charged</c:v>
                </c:pt>
              </c:strCache>
            </c:strRef>
          </c:tx>
          <c:spPr>
            <a:solidFill>
              <a:srgbClr val="00465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09B7-4947-ABC9-FB02F1302584}"/>
                </c:ext>
              </c:extLst>
            </c:dLbl>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Lato" panose="020F0502020204030203" pitchFamily="34" charset="0"/>
                    <a:ea typeface="Lato" panose="020F0502020204030203" pitchFamily="34" charset="0"/>
                    <a:cs typeface="Lato" panose="020F050202020403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Summary!$L$53:$L$55</c:f>
              <c:strCache>
                <c:ptCount val="3"/>
                <c:pt idx="0">
                  <c:v>2019-20</c:v>
                </c:pt>
                <c:pt idx="1">
                  <c:v>2020-21</c:v>
                </c:pt>
                <c:pt idx="2">
                  <c:v>2021-22</c:v>
                </c:pt>
              </c:strCache>
            </c:strRef>
          </c:cat>
          <c:val>
            <c:numRef>
              <c:f>Summary!$M$53:$M$55</c:f>
              <c:numCache>
                <c:formatCode>General</c:formatCode>
                <c:ptCount val="3"/>
                <c:pt idx="0">
                  <c:v>53</c:v>
                </c:pt>
                <c:pt idx="1">
                  <c:v>25</c:v>
                </c:pt>
                <c:pt idx="2">
                  <c:v>0</c:v>
                </c:pt>
              </c:numCache>
            </c:numRef>
          </c:val>
          <c:extLst>
            <c:ext xmlns:c16="http://schemas.microsoft.com/office/drawing/2014/chart" uri="{C3380CC4-5D6E-409C-BE32-E72D297353CC}">
              <c16:uniqueId val="{00000001-09B7-4947-ABC9-FB02F1302584}"/>
            </c:ext>
          </c:extLst>
        </c:ser>
        <c:ser>
          <c:idx val="1"/>
          <c:order val="1"/>
          <c:tx>
            <c:strRef>
              <c:f>Summary!$N$52</c:f>
              <c:strCache>
                <c:ptCount val="1"/>
                <c:pt idx="0">
                  <c:v>Charged</c:v>
                </c:pt>
              </c:strCache>
            </c:strRef>
          </c:tx>
          <c:spPr>
            <a:solidFill>
              <a:srgbClr val="45155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9B7-4947-ABC9-FB02F1302584}"/>
                </c:ext>
              </c:extLst>
            </c:dLbl>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Lato" panose="020F0502020204030203" pitchFamily="34" charset="0"/>
                    <a:ea typeface="Lato" panose="020F0502020204030203" pitchFamily="34" charset="0"/>
                    <a:cs typeface="Lato" panose="020F050202020403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Summary!$L$53:$L$55</c:f>
              <c:strCache>
                <c:ptCount val="3"/>
                <c:pt idx="0">
                  <c:v>2019-20</c:v>
                </c:pt>
                <c:pt idx="1">
                  <c:v>2020-21</c:v>
                </c:pt>
                <c:pt idx="2">
                  <c:v>2021-22</c:v>
                </c:pt>
              </c:strCache>
            </c:strRef>
          </c:cat>
          <c:val>
            <c:numRef>
              <c:f>Summary!$N$53:$N$55</c:f>
              <c:numCache>
                <c:formatCode>General</c:formatCode>
                <c:ptCount val="3"/>
                <c:pt idx="0">
                  <c:v>0</c:v>
                </c:pt>
                <c:pt idx="1">
                  <c:v>38</c:v>
                </c:pt>
                <c:pt idx="2">
                  <c:v>32</c:v>
                </c:pt>
              </c:numCache>
            </c:numRef>
          </c:val>
          <c:extLst>
            <c:ext xmlns:c16="http://schemas.microsoft.com/office/drawing/2014/chart" uri="{C3380CC4-5D6E-409C-BE32-E72D297353CC}">
              <c16:uniqueId val="{00000003-09B7-4947-ABC9-FB02F1302584}"/>
            </c:ext>
          </c:extLst>
        </c:ser>
        <c:dLbls>
          <c:showLegendKey val="0"/>
          <c:showVal val="0"/>
          <c:showCatName val="0"/>
          <c:showSerName val="0"/>
          <c:showPercent val="0"/>
          <c:showBubbleSize val="0"/>
        </c:dLbls>
        <c:gapWidth val="150"/>
        <c:overlap val="100"/>
        <c:axId val="357030415"/>
        <c:axId val="357026671"/>
      </c:barChart>
      <c:catAx>
        <c:axId val="357030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crossAx val="357026671"/>
        <c:crosses val="autoZero"/>
        <c:auto val="1"/>
        <c:lblAlgn val="ctr"/>
        <c:lblOffset val="100"/>
        <c:noMultiLvlLbl val="0"/>
      </c:catAx>
      <c:valAx>
        <c:axId val="357026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crossAx val="357030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Lato" panose="020F0502020204030203" pitchFamily="34" charset="0"/>
          <a:ea typeface="Lato" panose="020F0502020204030203" pitchFamily="34" charset="0"/>
          <a:cs typeface="Lato" panose="020F050202020403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3326</Words>
  <Characters>17011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2022-01-10T12:05:00Z</dcterms:created>
  <dcterms:modified xsi:type="dcterms:W3CDTF">2022-01-13T08:57:00Z</dcterms:modified>
</cp:coreProperties>
</file>