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02FC" w14:textId="189E91D4" w:rsidR="0067026E" w:rsidRDefault="001E54A3" w:rsidP="004306FE">
      <w:pPr>
        <w:pStyle w:val="Heading1"/>
        <w:spacing w:after="300"/>
        <w:rPr>
          <w:sz w:val="30"/>
          <w:szCs w:val="30"/>
        </w:rPr>
      </w:pPr>
      <w:r w:rsidRPr="004306FE">
        <w:rPr>
          <w:sz w:val="30"/>
          <w:szCs w:val="30"/>
        </w:rPr>
        <w:t>Research to access pathway for investigational drugs for COVID-19 (RAPID</w:t>
      </w:r>
      <w:r w:rsidR="006E7735">
        <w:rPr>
          <w:sz w:val="30"/>
          <w:szCs w:val="30"/>
        </w:rPr>
        <w:t xml:space="preserve"> </w:t>
      </w:r>
      <w:r w:rsidRPr="004306FE">
        <w:rPr>
          <w:sz w:val="30"/>
          <w:szCs w:val="30"/>
        </w:rPr>
        <w:t>C</w:t>
      </w:r>
      <w:r w:rsidR="006E7735">
        <w:rPr>
          <w:sz w:val="30"/>
          <w:szCs w:val="30"/>
        </w:rPr>
        <w:t>-</w:t>
      </w:r>
      <w:r w:rsidRPr="004306FE">
        <w:rPr>
          <w:sz w:val="30"/>
          <w:szCs w:val="30"/>
        </w:rPr>
        <w:t>19)</w:t>
      </w:r>
      <w:r w:rsidR="00AF7A22" w:rsidRPr="004306FE">
        <w:rPr>
          <w:sz w:val="30"/>
          <w:szCs w:val="30"/>
        </w:rPr>
        <w:t xml:space="preserve"> </w:t>
      </w:r>
      <w:r w:rsidR="0067026E">
        <w:rPr>
          <w:sz w:val="30"/>
          <w:szCs w:val="30"/>
        </w:rPr>
        <w:t>o</w:t>
      </w:r>
      <w:r w:rsidR="0067026E" w:rsidRPr="004306FE">
        <w:rPr>
          <w:sz w:val="30"/>
          <w:szCs w:val="30"/>
        </w:rPr>
        <w:t xml:space="preserve">versight </w:t>
      </w:r>
      <w:r w:rsidR="0067026E">
        <w:rPr>
          <w:sz w:val="30"/>
          <w:szCs w:val="30"/>
        </w:rPr>
        <w:t>g</w:t>
      </w:r>
      <w:r w:rsidR="0067026E" w:rsidRPr="004306FE">
        <w:rPr>
          <w:sz w:val="30"/>
          <w:szCs w:val="30"/>
        </w:rPr>
        <w:t>roup</w:t>
      </w:r>
    </w:p>
    <w:p w14:paraId="40B02285" w14:textId="168CA558" w:rsidR="0067026E" w:rsidRPr="0067026E" w:rsidRDefault="0067026E" w:rsidP="0067026E">
      <w:pPr>
        <w:pStyle w:val="Paragraph"/>
        <w:numPr>
          <w:ilvl w:val="0"/>
          <w:numId w:val="0"/>
        </w:numPr>
      </w:pPr>
      <w:r w:rsidRPr="0067026E">
        <w:t>The RAPID C-19 oversight group reviews the briefing document prepared by NICE (supported by the SMC through collaborative working) to see whether the current evidence base supports the use of that treatment for COVID-19.</w:t>
      </w:r>
    </w:p>
    <w:p w14:paraId="02C5C497" w14:textId="2CAFE947" w:rsidR="0067026E" w:rsidRPr="0067026E" w:rsidRDefault="0067026E" w:rsidP="0067026E">
      <w:pPr>
        <w:pStyle w:val="Paragraph"/>
        <w:numPr>
          <w:ilvl w:val="0"/>
          <w:numId w:val="0"/>
        </w:numPr>
      </w:pPr>
      <w:r w:rsidRPr="0067026E">
        <w:t>If there is strong evidence which shows the treatment to be effective, the oversight group determines what preparations are needed for patient access and their assessment of the evidence, along with suggested next steps.</w:t>
      </w:r>
    </w:p>
    <w:p w14:paraId="1FD23D06" w14:textId="73950721" w:rsidR="0067026E" w:rsidRPr="0067026E" w:rsidRDefault="0067026E" w:rsidP="0067026E">
      <w:pPr>
        <w:pStyle w:val="Paragraph"/>
        <w:numPr>
          <w:ilvl w:val="0"/>
          <w:numId w:val="0"/>
        </w:numPr>
      </w:pPr>
      <w:r w:rsidRPr="0067026E">
        <w:t xml:space="preserve">Where the evidence of efficacy is uncertain but there are ongoing clinical trials, the topic will continue to be monitored and will be considered again by the oversight group when the results of these trials become available. </w:t>
      </w:r>
    </w:p>
    <w:p w14:paraId="1A6A8A46" w14:textId="77777777" w:rsidR="0067026E" w:rsidRDefault="0067026E" w:rsidP="0067026E">
      <w:pPr>
        <w:pStyle w:val="Paragraph"/>
        <w:numPr>
          <w:ilvl w:val="0"/>
          <w:numId w:val="0"/>
        </w:numPr>
        <w:rPr>
          <w:b/>
          <w:bCs/>
        </w:rPr>
      </w:pPr>
      <w:r w:rsidRPr="0067026E">
        <w:t xml:space="preserve">For treatments where the evidence does not support their use in COVID-19 and no further evidence is expected, the topic is not prioritised for active monitoring but can be brought back to the oversight group if new evidence emerges. </w:t>
      </w:r>
    </w:p>
    <w:p w14:paraId="5A9B9AA9" w14:textId="2AC92BBF" w:rsidR="00D713F7" w:rsidRDefault="00AF7A22" w:rsidP="0067026E">
      <w:pPr>
        <w:pStyle w:val="Heading1"/>
        <w:spacing w:after="300"/>
        <w:rPr>
          <w:sz w:val="30"/>
          <w:szCs w:val="30"/>
        </w:rPr>
      </w:pPr>
      <w:r w:rsidRPr="004306FE">
        <w:rPr>
          <w:sz w:val="30"/>
          <w:szCs w:val="30"/>
        </w:rPr>
        <w:t xml:space="preserve">Oversight </w:t>
      </w:r>
      <w:r w:rsidR="0067026E">
        <w:rPr>
          <w:sz w:val="30"/>
          <w:szCs w:val="30"/>
        </w:rPr>
        <w:t>g</w:t>
      </w:r>
      <w:r w:rsidRPr="004306FE">
        <w:rPr>
          <w:sz w:val="30"/>
          <w:szCs w:val="30"/>
        </w:rPr>
        <w:t xml:space="preserve">roup </w:t>
      </w:r>
      <w:r w:rsidR="00D85DA2">
        <w:rPr>
          <w:sz w:val="30"/>
          <w:szCs w:val="30"/>
        </w:rPr>
        <w:t>m</w:t>
      </w:r>
      <w:r w:rsidRPr="004306FE">
        <w:rPr>
          <w:sz w:val="30"/>
          <w:szCs w:val="30"/>
        </w:rPr>
        <w:t xml:space="preserve">embership </w:t>
      </w:r>
    </w:p>
    <w:p w14:paraId="3FF8A3FC" w14:textId="4FCAF1D9" w:rsidR="00F729F0" w:rsidRPr="00F729F0" w:rsidRDefault="00F729F0" w:rsidP="00F729F0">
      <w:pPr>
        <w:pStyle w:val="Paragraph"/>
        <w:numPr>
          <w:ilvl w:val="0"/>
          <w:numId w:val="0"/>
        </w:numPr>
        <w:rPr>
          <w:lang w:eastAsia="en-GB"/>
        </w:rPr>
      </w:pPr>
      <w:r w:rsidRPr="00F729F0">
        <w:rPr>
          <w:lang w:eastAsia="en-GB"/>
        </w:rPr>
        <w:t xml:space="preserve">The RAPID C-19 oversight group is chaired by the programme director for commercial and managed access at NICE. The role of the chair is to facilitate the meeting.  </w:t>
      </w:r>
    </w:p>
    <w:p w14:paraId="096EC196" w14:textId="77777777" w:rsidR="00FE44AE" w:rsidRPr="00CD79D9" w:rsidRDefault="00FE44AE" w:rsidP="004306FE">
      <w:pPr>
        <w:pStyle w:val="Heading2"/>
        <w:spacing w:after="240"/>
        <w:rPr>
          <w:i w:val="0"/>
          <w:iCs w:val="0"/>
        </w:rPr>
      </w:pPr>
      <w:r w:rsidRPr="00CD79D9">
        <w:rPr>
          <w:i w:val="0"/>
          <w:iCs w:val="0"/>
        </w:rPr>
        <w:t>NHS England and NHS Improvement</w:t>
      </w:r>
    </w:p>
    <w:p w14:paraId="000FBE64" w14:textId="578140CB" w:rsidR="00FE44AE" w:rsidRPr="004306FE" w:rsidRDefault="00FE44AE" w:rsidP="00FE44AE">
      <w:pPr>
        <w:rPr>
          <w:rFonts w:ascii="Arial" w:hAnsi="Arial" w:cs="Arial"/>
          <w:sz w:val="24"/>
          <w:szCs w:val="24"/>
        </w:rPr>
      </w:pPr>
      <w:r w:rsidRPr="004306FE">
        <w:rPr>
          <w:rFonts w:ascii="Arial" w:hAnsi="Arial" w:cs="Arial"/>
          <w:sz w:val="24"/>
          <w:szCs w:val="24"/>
        </w:rPr>
        <w:t>James Palmer - National Medical Director, Specialised Services</w:t>
      </w:r>
    </w:p>
    <w:p w14:paraId="53EBAB30" w14:textId="0216F19A" w:rsidR="00FE44AE" w:rsidRPr="007F3721" w:rsidRDefault="00FE44AE" w:rsidP="00FE3B58">
      <w:pPr>
        <w:pStyle w:val="Heading3"/>
        <w:spacing w:after="240"/>
      </w:pPr>
      <w:r w:rsidRPr="007F3721">
        <w:t>Specialised commissioning</w:t>
      </w:r>
    </w:p>
    <w:p w14:paraId="45D4E09E" w14:textId="77777777" w:rsidR="00FE44AE" w:rsidRPr="007F3721" w:rsidRDefault="00FE44AE" w:rsidP="00FE44AE">
      <w:pPr>
        <w:pStyle w:val="ListParagraph"/>
        <w:numPr>
          <w:ilvl w:val="0"/>
          <w:numId w:val="21"/>
        </w:numPr>
        <w:rPr>
          <w:rFonts w:ascii="Arial" w:hAnsi="Arial" w:cs="Arial"/>
          <w:sz w:val="24"/>
          <w:szCs w:val="24"/>
        </w:rPr>
      </w:pPr>
      <w:r w:rsidRPr="007F3721">
        <w:rPr>
          <w:rFonts w:ascii="Arial" w:hAnsi="Arial" w:cs="Arial"/>
          <w:sz w:val="24"/>
          <w:szCs w:val="24"/>
        </w:rPr>
        <w:t>Programme Director (Clinical Strategy)</w:t>
      </w:r>
    </w:p>
    <w:p w14:paraId="12B9F9AC" w14:textId="77777777" w:rsidR="00FE44AE" w:rsidRPr="007F3721" w:rsidRDefault="00FE44AE" w:rsidP="00FE44AE">
      <w:pPr>
        <w:pStyle w:val="ListParagraph"/>
        <w:numPr>
          <w:ilvl w:val="0"/>
          <w:numId w:val="21"/>
        </w:numPr>
        <w:rPr>
          <w:rFonts w:ascii="Arial" w:hAnsi="Arial" w:cs="Arial"/>
          <w:sz w:val="24"/>
          <w:szCs w:val="24"/>
        </w:rPr>
      </w:pPr>
      <w:r w:rsidRPr="007F3721">
        <w:rPr>
          <w:rFonts w:ascii="Arial" w:hAnsi="Arial" w:cs="Arial"/>
          <w:sz w:val="24"/>
          <w:szCs w:val="24"/>
        </w:rPr>
        <w:t>Clinical Director, National Clinical Policy</w:t>
      </w:r>
    </w:p>
    <w:p w14:paraId="03AC0106" w14:textId="77777777" w:rsidR="00FE44AE" w:rsidRPr="007F3721" w:rsidRDefault="00FE44AE" w:rsidP="00FE44AE">
      <w:pPr>
        <w:pStyle w:val="ListParagraph"/>
        <w:numPr>
          <w:ilvl w:val="0"/>
          <w:numId w:val="21"/>
        </w:numPr>
        <w:rPr>
          <w:rFonts w:ascii="Arial" w:hAnsi="Arial" w:cs="Arial"/>
          <w:sz w:val="24"/>
          <w:szCs w:val="24"/>
        </w:rPr>
      </w:pPr>
      <w:r w:rsidRPr="007F3721">
        <w:rPr>
          <w:rFonts w:ascii="Arial" w:hAnsi="Arial" w:cs="Arial"/>
          <w:sz w:val="24"/>
          <w:szCs w:val="24"/>
        </w:rPr>
        <w:t>Pharmacy Lead</w:t>
      </w:r>
    </w:p>
    <w:p w14:paraId="78AFE5DE" w14:textId="77777777" w:rsidR="00FE44AE" w:rsidRPr="007F3721" w:rsidRDefault="00FE44AE" w:rsidP="00FE44AE">
      <w:pPr>
        <w:pStyle w:val="ListParagraph"/>
        <w:numPr>
          <w:ilvl w:val="0"/>
          <w:numId w:val="21"/>
        </w:numPr>
        <w:rPr>
          <w:rFonts w:ascii="Arial" w:hAnsi="Arial" w:cs="Arial"/>
          <w:sz w:val="24"/>
          <w:szCs w:val="24"/>
        </w:rPr>
      </w:pPr>
      <w:r w:rsidRPr="007F3721">
        <w:rPr>
          <w:rFonts w:ascii="Arial" w:hAnsi="Arial" w:cs="Arial"/>
          <w:sz w:val="24"/>
          <w:szCs w:val="24"/>
        </w:rPr>
        <w:t>National Clinical Policy Lead</w:t>
      </w:r>
    </w:p>
    <w:p w14:paraId="0E01A3D7" w14:textId="657F55E7" w:rsidR="00160FF7" w:rsidRPr="004306FE" w:rsidRDefault="00FE44AE" w:rsidP="004306FE">
      <w:pPr>
        <w:pStyle w:val="ListParagraph"/>
        <w:numPr>
          <w:ilvl w:val="0"/>
          <w:numId w:val="21"/>
        </w:numPr>
        <w:rPr>
          <w:rFonts w:ascii="Arial" w:hAnsi="Arial" w:cs="Arial"/>
          <w:sz w:val="24"/>
          <w:szCs w:val="24"/>
        </w:rPr>
      </w:pPr>
      <w:r w:rsidRPr="007F3721">
        <w:rPr>
          <w:rFonts w:ascii="Arial" w:hAnsi="Arial" w:cs="Arial"/>
          <w:sz w:val="24"/>
          <w:szCs w:val="24"/>
        </w:rPr>
        <w:t>National Clinical Policy Fellow</w:t>
      </w:r>
    </w:p>
    <w:p w14:paraId="60FF0243" w14:textId="5894A402" w:rsidR="00FE44AE" w:rsidRPr="00CD79D9" w:rsidRDefault="00FE44AE" w:rsidP="004306FE">
      <w:pPr>
        <w:pStyle w:val="Heading2"/>
        <w:spacing w:after="240"/>
        <w:rPr>
          <w:i w:val="0"/>
          <w:iCs w:val="0"/>
        </w:rPr>
      </w:pPr>
      <w:r w:rsidRPr="00CD79D9">
        <w:rPr>
          <w:i w:val="0"/>
          <w:iCs w:val="0"/>
        </w:rPr>
        <w:t>Medicines and Healthcare products Regulatory Agency (MHRA)</w:t>
      </w:r>
    </w:p>
    <w:p w14:paraId="35AA5365" w14:textId="6F2AC26E" w:rsidR="00D713F7" w:rsidRPr="008A3242" w:rsidRDefault="00D713F7" w:rsidP="008A3242">
      <w:pPr>
        <w:rPr>
          <w:rFonts w:ascii="Arial" w:hAnsi="Arial" w:cs="Arial"/>
          <w:sz w:val="24"/>
          <w:szCs w:val="24"/>
        </w:rPr>
      </w:pPr>
      <w:r w:rsidRPr="008A3242">
        <w:rPr>
          <w:rFonts w:ascii="Arial" w:hAnsi="Arial" w:cs="Arial"/>
          <w:sz w:val="24"/>
          <w:szCs w:val="24"/>
        </w:rPr>
        <w:t>Krishna Prasad - Deputy Director (Interim) Licensing Division, MHRA, Principal Assessor to Commission on Human Medicines (CHM)</w:t>
      </w:r>
    </w:p>
    <w:p w14:paraId="75897039" w14:textId="0A4C7B81" w:rsidR="00160FF7" w:rsidRPr="004306FE" w:rsidRDefault="00FE44AE" w:rsidP="004306FE">
      <w:pPr>
        <w:pStyle w:val="ListParagraph"/>
        <w:numPr>
          <w:ilvl w:val="0"/>
          <w:numId w:val="22"/>
        </w:numPr>
        <w:rPr>
          <w:rFonts w:ascii="Arial" w:hAnsi="Arial" w:cs="Arial"/>
          <w:sz w:val="24"/>
          <w:szCs w:val="24"/>
        </w:rPr>
      </w:pPr>
      <w:r w:rsidRPr="007F3721">
        <w:rPr>
          <w:rFonts w:ascii="Arial" w:hAnsi="Arial" w:cs="Arial"/>
          <w:sz w:val="24"/>
          <w:szCs w:val="24"/>
        </w:rPr>
        <w:t>Expert Medical Assessor, Licensing Division</w:t>
      </w:r>
    </w:p>
    <w:p w14:paraId="5F010252" w14:textId="77777777" w:rsidR="00E63647" w:rsidRPr="00C145CC" w:rsidRDefault="00E63647" w:rsidP="004306FE">
      <w:pPr>
        <w:pStyle w:val="Heading2"/>
        <w:spacing w:after="240"/>
        <w:rPr>
          <w:i w:val="0"/>
          <w:iCs w:val="0"/>
        </w:rPr>
      </w:pPr>
      <w:r w:rsidRPr="00C145CC">
        <w:rPr>
          <w:i w:val="0"/>
          <w:iCs w:val="0"/>
        </w:rPr>
        <w:lastRenderedPageBreak/>
        <w:t>National Institute for Health Research (NIHR)</w:t>
      </w:r>
    </w:p>
    <w:p w14:paraId="276484DB" w14:textId="7A698A26" w:rsidR="00D713F7" w:rsidRPr="004306FE" w:rsidRDefault="000B3565" w:rsidP="004306FE">
      <w:pPr>
        <w:rPr>
          <w:rFonts w:ascii="Arial" w:hAnsi="Arial" w:cs="Arial"/>
          <w:sz w:val="24"/>
          <w:szCs w:val="24"/>
        </w:rPr>
      </w:pPr>
      <w:r w:rsidRPr="00C145CC">
        <w:rPr>
          <w:rFonts w:ascii="Arial" w:hAnsi="Arial" w:cs="Arial"/>
          <w:sz w:val="24"/>
          <w:szCs w:val="24"/>
        </w:rPr>
        <w:t>Daniel McAuley</w:t>
      </w:r>
      <w:r w:rsidR="00E63647" w:rsidRPr="00C145CC">
        <w:rPr>
          <w:rFonts w:ascii="Arial" w:hAnsi="Arial" w:cs="Arial"/>
          <w:sz w:val="24"/>
          <w:szCs w:val="24"/>
        </w:rPr>
        <w:t xml:space="preserve"> </w:t>
      </w:r>
      <w:r w:rsidRPr="00C145CC">
        <w:rPr>
          <w:rFonts w:ascii="Arial" w:hAnsi="Arial" w:cs="Arial"/>
          <w:sz w:val="24"/>
          <w:szCs w:val="24"/>
        </w:rPr>
        <w:t>–</w:t>
      </w:r>
      <w:r w:rsidR="00E63647" w:rsidRPr="00C145CC">
        <w:rPr>
          <w:rFonts w:ascii="Arial" w:hAnsi="Arial" w:cs="Arial"/>
          <w:sz w:val="24"/>
          <w:szCs w:val="24"/>
        </w:rPr>
        <w:t xml:space="preserve"> </w:t>
      </w:r>
      <w:r w:rsidRPr="00C145CC">
        <w:rPr>
          <w:rFonts w:ascii="Arial" w:hAnsi="Arial" w:cs="Arial"/>
          <w:sz w:val="24"/>
          <w:szCs w:val="24"/>
        </w:rPr>
        <w:t>Director NIHR Efficacy and Mechanism Evaluation (EME) Programme</w:t>
      </w:r>
    </w:p>
    <w:p w14:paraId="6596B635" w14:textId="6ED0E81A" w:rsidR="00E63647" w:rsidRPr="00CD79D9" w:rsidRDefault="00482BC9" w:rsidP="004306FE">
      <w:pPr>
        <w:pStyle w:val="Heading2"/>
        <w:spacing w:after="240"/>
        <w:rPr>
          <w:i w:val="0"/>
          <w:iCs w:val="0"/>
        </w:rPr>
      </w:pPr>
      <w:r w:rsidRPr="00CD79D9">
        <w:rPr>
          <w:i w:val="0"/>
          <w:iCs w:val="0"/>
        </w:rPr>
        <w:t>N</w:t>
      </w:r>
      <w:r w:rsidR="00CD79D9" w:rsidRPr="00CD79D9">
        <w:rPr>
          <w:i w:val="0"/>
          <w:iCs w:val="0"/>
        </w:rPr>
        <w:t>ational Institute for Health and Care Excellence (N</w:t>
      </w:r>
      <w:r w:rsidRPr="00CD79D9">
        <w:rPr>
          <w:i w:val="0"/>
          <w:iCs w:val="0"/>
        </w:rPr>
        <w:t>ICE</w:t>
      </w:r>
      <w:r w:rsidR="00CD79D9" w:rsidRPr="00CD79D9">
        <w:rPr>
          <w:i w:val="0"/>
          <w:iCs w:val="0"/>
        </w:rPr>
        <w:t>)</w:t>
      </w:r>
    </w:p>
    <w:p w14:paraId="5A7B837E" w14:textId="4028C55B" w:rsidR="00E63647" w:rsidRPr="004306FE" w:rsidRDefault="00482BC9" w:rsidP="00FE44AE">
      <w:pPr>
        <w:rPr>
          <w:rFonts w:ascii="Arial" w:hAnsi="Arial" w:cs="Arial"/>
          <w:sz w:val="24"/>
          <w:szCs w:val="24"/>
        </w:rPr>
      </w:pPr>
      <w:r w:rsidRPr="004306FE">
        <w:rPr>
          <w:rFonts w:ascii="Arial" w:hAnsi="Arial" w:cs="Arial"/>
          <w:sz w:val="24"/>
          <w:szCs w:val="24"/>
        </w:rPr>
        <w:t>Meindert Boysen - Deputy Chief Executive and Director of the Centre for Health Technology Evaluation</w:t>
      </w:r>
    </w:p>
    <w:p w14:paraId="7728080D" w14:textId="51CAC3A9" w:rsidR="00FC1524" w:rsidRPr="007F3721" w:rsidRDefault="00FC1524" w:rsidP="004306FE">
      <w:pPr>
        <w:pStyle w:val="Heading3"/>
        <w:spacing w:after="240"/>
      </w:pPr>
      <w:r w:rsidRPr="007F3721">
        <w:t>Centre for Health Technology Evaluation</w:t>
      </w:r>
      <w:r w:rsidR="00A0512F">
        <w:t xml:space="preserve"> (including the Life Sciences Team)</w:t>
      </w:r>
    </w:p>
    <w:p w14:paraId="5B32F8DC" w14:textId="1BA68B41" w:rsidR="00482BC9" w:rsidRPr="007F3721" w:rsidRDefault="00482BC9" w:rsidP="00482BC9">
      <w:pPr>
        <w:pStyle w:val="ListParagraph"/>
        <w:numPr>
          <w:ilvl w:val="0"/>
          <w:numId w:val="22"/>
        </w:numPr>
        <w:rPr>
          <w:rFonts w:ascii="Arial" w:hAnsi="Arial" w:cs="Arial"/>
          <w:sz w:val="24"/>
          <w:szCs w:val="24"/>
        </w:rPr>
      </w:pPr>
      <w:r w:rsidRPr="007F3721">
        <w:rPr>
          <w:rFonts w:ascii="Arial" w:hAnsi="Arial" w:cs="Arial"/>
          <w:sz w:val="24"/>
          <w:szCs w:val="24"/>
        </w:rPr>
        <w:t xml:space="preserve">Programme Director </w:t>
      </w:r>
      <w:r w:rsidR="00A72CF2">
        <w:rPr>
          <w:rFonts w:ascii="Arial" w:hAnsi="Arial" w:cs="Arial"/>
          <w:sz w:val="24"/>
          <w:szCs w:val="24"/>
        </w:rPr>
        <w:t>-</w:t>
      </w:r>
      <w:r w:rsidRPr="007F3721">
        <w:rPr>
          <w:rFonts w:ascii="Arial" w:hAnsi="Arial" w:cs="Arial"/>
          <w:sz w:val="24"/>
          <w:szCs w:val="24"/>
        </w:rPr>
        <w:t xml:space="preserve"> HTA methods and guidance</w:t>
      </w:r>
    </w:p>
    <w:p w14:paraId="56DFF851" w14:textId="77777777" w:rsidR="008A3242" w:rsidRDefault="00482BC9" w:rsidP="008A3242">
      <w:pPr>
        <w:pStyle w:val="ListParagraph"/>
        <w:numPr>
          <w:ilvl w:val="0"/>
          <w:numId w:val="22"/>
        </w:numPr>
        <w:rPr>
          <w:rFonts w:ascii="Arial" w:hAnsi="Arial" w:cs="Arial"/>
          <w:sz w:val="24"/>
          <w:szCs w:val="24"/>
        </w:rPr>
      </w:pPr>
      <w:r w:rsidRPr="007F3721">
        <w:rPr>
          <w:rFonts w:ascii="Arial" w:hAnsi="Arial" w:cs="Arial"/>
          <w:sz w:val="24"/>
          <w:szCs w:val="24"/>
        </w:rPr>
        <w:t xml:space="preserve">Programme Director </w:t>
      </w:r>
      <w:r w:rsidR="00A72CF2">
        <w:rPr>
          <w:rFonts w:ascii="Arial" w:hAnsi="Arial" w:cs="Arial"/>
          <w:sz w:val="24"/>
          <w:szCs w:val="24"/>
        </w:rPr>
        <w:t>-</w:t>
      </w:r>
      <w:r w:rsidRPr="007F3721">
        <w:rPr>
          <w:rFonts w:ascii="Arial" w:hAnsi="Arial" w:cs="Arial"/>
          <w:sz w:val="24"/>
          <w:szCs w:val="24"/>
        </w:rPr>
        <w:t xml:space="preserve"> Commercial and Managed Access</w:t>
      </w:r>
    </w:p>
    <w:p w14:paraId="0F0A5655" w14:textId="77777777" w:rsidR="008A3242" w:rsidRDefault="00C743F7" w:rsidP="008A3242">
      <w:pPr>
        <w:pStyle w:val="ListParagraph"/>
        <w:numPr>
          <w:ilvl w:val="0"/>
          <w:numId w:val="22"/>
        </w:numPr>
        <w:rPr>
          <w:rFonts w:ascii="Arial" w:hAnsi="Arial" w:cs="Arial"/>
          <w:sz w:val="24"/>
          <w:szCs w:val="24"/>
        </w:rPr>
      </w:pPr>
      <w:r w:rsidRPr="008A3242">
        <w:rPr>
          <w:rFonts w:ascii="Arial" w:hAnsi="Arial" w:cs="Arial"/>
          <w:sz w:val="24"/>
          <w:szCs w:val="24"/>
        </w:rPr>
        <w:t>Associate Director - Planning and Operations</w:t>
      </w:r>
    </w:p>
    <w:p w14:paraId="0611A941" w14:textId="77777777" w:rsid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 xml:space="preserve">Accelerated Access Collaborative Relationship </w:t>
      </w:r>
      <w:r w:rsidR="00533148" w:rsidRPr="008A3242">
        <w:rPr>
          <w:rFonts w:ascii="Arial" w:hAnsi="Arial" w:cs="Arial"/>
          <w:sz w:val="24"/>
          <w:szCs w:val="24"/>
        </w:rPr>
        <w:t>and</w:t>
      </w:r>
      <w:r w:rsidRPr="008A3242">
        <w:rPr>
          <w:rFonts w:ascii="Arial" w:hAnsi="Arial" w:cs="Arial"/>
          <w:sz w:val="24"/>
          <w:szCs w:val="24"/>
        </w:rPr>
        <w:t xml:space="preserve"> Delivery Lead</w:t>
      </w:r>
    </w:p>
    <w:p w14:paraId="75CBA6DC" w14:textId="77777777" w:rsid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 xml:space="preserve">Senior Market Access Adviser, NICE Office for Market </w:t>
      </w:r>
      <w:proofErr w:type="gramStart"/>
      <w:r w:rsidRPr="008A3242">
        <w:rPr>
          <w:rFonts w:ascii="Arial" w:hAnsi="Arial" w:cs="Arial"/>
          <w:sz w:val="24"/>
          <w:szCs w:val="24"/>
        </w:rPr>
        <w:t>Access</w:t>
      </w:r>
      <w:proofErr w:type="gramEnd"/>
      <w:r w:rsidRPr="008A3242">
        <w:rPr>
          <w:rFonts w:ascii="Arial" w:hAnsi="Arial" w:cs="Arial"/>
          <w:sz w:val="24"/>
          <w:szCs w:val="24"/>
        </w:rPr>
        <w:t xml:space="preserve"> </w:t>
      </w:r>
      <w:r w:rsidR="00533148" w:rsidRPr="008A3242">
        <w:rPr>
          <w:rFonts w:ascii="Arial" w:hAnsi="Arial" w:cs="Arial"/>
          <w:sz w:val="24"/>
          <w:szCs w:val="24"/>
        </w:rPr>
        <w:t>and</w:t>
      </w:r>
      <w:r w:rsidRPr="008A3242">
        <w:rPr>
          <w:rFonts w:ascii="Arial" w:hAnsi="Arial" w:cs="Arial"/>
          <w:sz w:val="24"/>
          <w:szCs w:val="24"/>
        </w:rPr>
        <w:t xml:space="preserve"> Accelerated Access Collaborative Secretariat</w:t>
      </w:r>
    </w:p>
    <w:p w14:paraId="69816C75" w14:textId="77777777" w:rsid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Market Access Adviser</w:t>
      </w:r>
    </w:p>
    <w:p w14:paraId="7508EA6C" w14:textId="77777777" w:rsid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 xml:space="preserve">Market Access Analysts </w:t>
      </w:r>
      <w:r w:rsidR="009C4764" w:rsidRPr="008A3242">
        <w:rPr>
          <w:rFonts w:ascii="Arial" w:hAnsi="Arial" w:cs="Arial"/>
          <w:sz w:val="24"/>
          <w:szCs w:val="24"/>
        </w:rPr>
        <w:t>(</w:t>
      </w:r>
      <w:r w:rsidRPr="008A3242">
        <w:rPr>
          <w:rFonts w:ascii="Arial" w:hAnsi="Arial" w:cs="Arial"/>
          <w:sz w:val="24"/>
          <w:szCs w:val="24"/>
        </w:rPr>
        <w:t>3</w:t>
      </w:r>
      <w:r w:rsidR="009C4764" w:rsidRPr="008A3242">
        <w:rPr>
          <w:rFonts w:ascii="Arial" w:hAnsi="Arial" w:cs="Arial"/>
          <w:sz w:val="24"/>
          <w:szCs w:val="24"/>
        </w:rPr>
        <w:t>)</w:t>
      </w:r>
    </w:p>
    <w:p w14:paraId="7671F8BA" w14:textId="77777777" w:rsid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Programme Manager</w:t>
      </w:r>
    </w:p>
    <w:p w14:paraId="4D0F52D5" w14:textId="3AFC2707" w:rsidR="00482BC9" w:rsidRPr="008A3242" w:rsidRDefault="00482BC9" w:rsidP="008A3242">
      <w:pPr>
        <w:pStyle w:val="ListParagraph"/>
        <w:numPr>
          <w:ilvl w:val="0"/>
          <w:numId w:val="22"/>
        </w:numPr>
        <w:rPr>
          <w:rFonts w:ascii="Arial" w:hAnsi="Arial" w:cs="Arial"/>
          <w:sz w:val="24"/>
          <w:szCs w:val="24"/>
        </w:rPr>
      </w:pPr>
      <w:r w:rsidRPr="008A3242">
        <w:rPr>
          <w:rFonts w:ascii="Arial" w:hAnsi="Arial" w:cs="Arial"/>
          <w:sz w:val="24"/>
          <w:szCs w:val="24"/>
        </w:rPr>
        <w:t>Coordinator</w:t>
      </w:r>
    </w:p>
    <w:p w14:paraId="699B7372" w14:textId="2B218645" w:rsidR="00FC1524" w:rsidRPr="007F3721" w:rsidRDefault="00FC1524" w:rsidP="004306FE">
      <w:pPr>
        <w:pStyle w:val="Heading3"/>
        <w:spacing w:after="240"/>
      </w:pPr>
      <w:r w:rsidRPr="007F3721">
        <w:t>Centre for Guidelines</w:t>
      </w:r>
    </w:p>
    <w:p w14:paraId="49696B9E" w14:textId="5AD6571C" w:rsidR="00E63647" w:rsidRPr="007F3721" w:rsidRDefault="00482BC9" w:rsidP="00FE44AE">
      <w:pPr>
        <w:pStyle w:val="ListParagraph"/>
        <w:numPr>
          <w:ilvl w:val="0"/>
          <w:numId w:val="22"/>
        </w:numPr>
        <w:rPr>
          <w:rFonts w:ascii="Arial" w:hAnsi="Arial" w:cs="Arial"/>
          <w:sz w:val="24"/>
          <w:szCs w:val="24"/>
        </w:rPr>
      </w:pPr>
      <w:r w:rsidRPr="007F3721">
        <w:rPr>
          <w:rFonts w:ascii="Arial" w:hAnsi="Arial" w:cs="Arial"/>
          <w:sz w:val="24"/>
          <w:szCs w:val="24"/>
        </w:rPr>
        <w:t xml:space="preserve">Programme Director </w:t>
      </w:r>
      <w:r w:rsidR="00A72CF2">
        <w:rPr>
          <w:rFonts w:ascii="Arial" w:hAnsi="Arial" w:cs="Arial"/>
          <w:sz w:val="24"/>
          <w:szCs w:val="24"/>
        </w:rPr>
        <w:t>-</w:t>
      </w:r>
      <w:r w:rsidRPr="007F3721">
        <w:rPr>
          <w:rFonts w:ascii="Arial" w:hAnsi="Arial" w:cs="Arial"/>
          <w:sz w:val="24"/>
          <w:szCs w:val="24"/>
        </w:rPr>
        <w:t xml:space="preserve"> Medicines and Technologies Programme</w:t>
      </w:r>
    </w:p>
    <w:p w14:paraId="7A5BAB79" w14:textId="77777777" w:rsidR="00C743F7" w:rsidRPr="007F3721" w:rsidRDefault="00C743F7" w:rsidP="004306FE">
      <w:pPr>
        <w:pStyle w:val="Heading3"/>
        <w:spacing w:after="240"/>
        <w:rPr>
          <w:shd w:val="clear" w:color="auto" w:fill="FFFFFF"/>
        </w:rPr>
      </w:pPr>
      <w:r w:rsidRPr="007F3721">
        <w:rPr>
          <w:shd w:val="clear" w:color="auto" w:fill="FFFFFF"/>
        </w:rPr>
        <w:t>Science, Evidence and Analytics Directorate</w:t>
      </w:r>
    </w:p>
    <w:p w14:paraId="78114797" w14:textId="691E8950" w:rsidR="00C743F7" w:rsidRPr="007F3721" w:rsidRDefault="00C743F7" w:rsidP="00C743F7">
      <w:pPr>
        <w:pStyle w:val="ListParagraph"/>
        <w:numPr>
          <w:ilvl w:val="0"/>
          <w:numId w:val="22"/>
        </w:numPr>
        <w:rPr>
          <w:rFonts w:ascii="Arial" w:hAnsi="Arial" w:cs="Arial"/>
          <w:color w:val="393939"/>
          <w:sz w:val="24"/>
          <w:szCs w:val="24"/>
          <w:shd w:val="clear" w:color="auto" w:fill="FFFFFF"/>
        </w:rPr>
      </w:pPr>
      <w:r w:rsidRPr="007F3721">
        <w:rPr>
          <w:rFonts w:ascii="Arial" w:hAnsi="Arial" w:cs="Arial"/>
          <w:color w:val="393939"/>
          <w:sz w:val="24"/>
          <w:szCs w:val="24"/>
          <w:shd w:val="clear" w:color="auto" w:fill="FFFFFF"/>
        </w:rPr>
        <w:t>Programme Director - Scientific Affairs</w:t>
      </w:r>
    </w:p>
    <w:p w14:paraId="2E4BD94D" w14:textId="3644CD77" w:rsidR="00E63647" w:rsidRPr="00CD79D9" w:rsidRDefault="00482BC9" w:rsidP="004306FE">
      <w:pPr>
        <w:pStyle w:val="Heading2"/>
        <w:spacing w:after="240"/>
        <w:rPr>
          <w:i w:val="0"/>
          <w:iCs w:val="0"/>
        </w:rPr>
      </w:pPr>
      <w:r w:rsidRPr="00CD79D9">
        <w:rPr>
          <w:i w:val="0"/>
          <w:iCs w:val="0"/>
        </w:rPr>
        <w:t>Scottish Medicines Consortium (Healthcare Improvement Scotland)</w:t>
      </w:r>
    </w:p>
    <w:p w14:paraId="5E805048" w14:textId="77777777" w:rsidR="00482BC9" w:rsidRPr="007F3721" w:rsidRDefault="00482BC9" w:rsidP="00482BC9">
      <w:pPr>
        <w:pStyle w:val="ListParagraph"/>
        <w:numPr>
          <w:ilvl w:val="0"/>
          <w:numId w:val="23"/>
        </w:numPr>
        <w:rPr>
          <w:rFonts w:ascii="Arial" w:hAnsi="Arial" w:cs="Arial"/>
          <w:sz w:val="24"/>
          <w:szCs w:val="24"/>
        </w:rPr>
      </w:pPr>
      <w:r w:rsidRPr="007F3721">
        <w:rPr>
          <w:rFonts w:ascii="Arial" w:hAnsi="Arial" w:cs="Arial"/>
          <w:sz w:val="24"/>
          <w:szCs w:val="24"/>
        </w:rPr>
        <w:t>Chief Pharmaceutical Adviser</w:t>
      </w:r>
    </w:p>
    <w:p w14:paraId="7A41B195" w14:textId="7AFAA3AE" w:rsidR="00482BC9" w:rsidRPr="007F3721" w:rsidRDefault="00482BC9" w:rsidP="00482BC9">
      <w:pPr>
        <w:pStyle w:val="ListParagraph"/>
        <w:numPr>
          <w:ilvl w:val="0"/>
          <w:numId w:val="23"/>
        </w:numPr>
        <w:rPr>
          <w:rFonts w:ascii="Arial" w:hAnsi="Arial" w:cs="Arial"/>
          <w:sz w:val="24"/>
          <w:szCs w:val="24"/>
        </w:rPr>
      </w:pPr>
      <w:r w:rsidRPr="007F3721">
        <w:rPr>
          <w:rFonts w:ascii="Arial" w:hAnsi="Arial" w:cs="Arial"/>
          <w:sz w:val="24"/>
          <w:szCs w:val="24"/>
        </w:rPr>
        <w:t>Principal Pharmaceutical Analyst</w:t>
      </w:r>
    </w:p>
    <w:p w14:paraId="2894247C" w14:textId="7C663D39" w:rsidR="00482BC9" w:rsidRPr="00CD79D9" w:rsidRDefault="00482BC9" w:rsidP="004306FE">
      <w:pPr>
        <w:pStyle w:val="Heading2"/>
        <w:spacing w:after="240"/>
        <w:rPr>
          <w:i w:val="0"/>
          <w:iCs w:val="0"/>
        </w:rPr>
      </w:pPr>
      <w:r w:rsidRPr="00CD79D9">
        <w:rPr>
          <w:i w:val="0"/>
          <w:iCs w:val="0"/>
        </w:rPr>
        <w:t>All Wales Therapeutics &amp; Toxicology Centre (AWTTC)</w:t>
      </w:r>
    </w:p>
    <w:p w14:paraId="23E1C920" w14:textId="77777777" w:rsidR="00482BC9" w:rsidRPr="007F3721" w:rsidRDefault="00482BC9" w:rsidP="00482BC9">
      <w:pPr>
        <w:pStyle w:val="ListParagraph"/>
        <w:numPr>
          <w:ilvl w:val="0"/>
          <w:numId w:val="24"/>
        </w:numPr>
        <w:rPr>
          <w:rFonts w:ascii="Arial" w:hAnsi="Arial" w:cs="Arial"/>
          <w:sz w:val="24"/>
          <w:szCs w:val="24"/>
        </w:rPr>
      </w:pPr>
      <w:r w:rsidRPr="007F3721">
        <w:rPr>
          <w:rFonts w:ascii="Arial" w:hAnsi="Arial" w:cs="Arial"/>
          <w:sz w:val="24"/>
          <w:szCs w:val="24"/>
        </w:rPr>
        <w:t>Head of Health Technology Appraisal, Medicines Management and Programme Director AWTTC</w:t>
      </w:r>
    </w:p>
    <w:p w14:paraId="34D56133" w14:textId="28181C7B" w:rsidR="00482BC9" w:rsidRPr="007F3721" w:rsidRDefault="00482BC9" w:rsidP="00160FF7">
      <w:pPr>
        <w:pStyle w:val="ListParagraph"/>
        <w:numPr>
          <w:ilvl w:val="0"/>
          <w:numId w:val="24"/>
        </w:numPr>
        <w:rPr>
          <w:rFonts w:ascii="Arial" w:hAnsi="Arial" w:cs="Arial"/>
          <w:sz w:val="24"/>
          <w:szCs w:val="24"/>
        </w:rPr>
      </w:pPr>
      <w:r w:rsidRPr="007F3721">
        <w:rPr>
          <w:rFonts w:ascii="Arial" w:hAnsi="Arial" w:cs="Arial"/>
          <w:sz w:val="24"/>
          <w:szCs w:val="24"/>
        </w:rPr>
        <w:t>Head of Welsh Analytical Prescribing Support Unit (WAPSU)</w:t>
      </w:r>
    </w:p>
    <w:p w14:paraId="1B32FD29" w14:textId="77777777" w:rsidR="00482BC9" w:rsidRPr="00CD79D9" w:rsidRDefault="00482BC9" w:rsidP="004306FE">
      <w:pPr>
        <w:pStyle w:val="Heading2"/>
        <w:spacing w:after="240"/>
        <w:rPr>
          <w:i w:val="0"/>
          <w:iCs w:val="0"/>
        </w:rPr>
      </w:pPr>
      <w:r w:rsidRPr="00CD79D9">
        <w:rPr>
          <w:i w:val="0"/>
          <w:iCs w:val="0"/>
        </w:rPr>
        <w:t>Northern Ireland Health and Social Care Board</w:t>
      </w:r>
    </w:p>
    <w:p w14:paraId="003A220C" w14:textId="0636097B" w:rsidR="008814FB" w:rsidRPr="007F3721" w:rsidRDefault="00482BC9" w:rsidP="00161121">
      <w:pPr>
        <w:pStyle w:val="ListParagraph"/>
        <w:numPr>
          <w:ilvl w:val="0"/>
          <w:numId w:val="26"/>
        </w:numPr>
        <w:rPr>
          <w:rFonts w:ascii="Arial" w:hAnsi="Arial" w:cs="Arial"/>
          <w:sz w:val="24"/>
          <w:szCs w:val="24"/>
        </w:rPr>
      </w:pPr>
      <w:r w:rsidRPr="007F3721">
        <w:rPr>
          <w:rFonts w:ascii="Arial" w:hAnsi="Arial" w:cs="Arial"/>
          <w:sz w:val="24"/>
          <w:szCs w:val="24"/>
        </w:rPr>
        <w:t>Pharmacy Co-ordinator (Specialist Medicines)</w:t>
      </w:r>
    </w:p>
    <w:sectPr w:rsidR="008814FB" w:rsidRPr="007F3721" w:rsidSect="00934373">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C18E" w14:textId="77777777" w:rsidR="00C321A7" w:rsidRDefault="00C321A7" w:rsidP="00446BEE">
      <w:r>
        <w:separator/>
      </w:r>
    </w:p>
  </w:endnote>
  <w:endnote w:type="continuationSeparator" w:id="0">
    <w:p w14:paraId="033745A5" w14:textId="77777777" w:rsidR="00C321A7" w:rsidRDefault="00C321A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8CF" w14:textId="1B3C54DD" w:rsidR="00446BEE" w:rsidRDefault="00446BEE" w:rsidP="00446BEE">
    <w:pPr>
      <w:pStyle w:val="Footer"/>
    </w:pPr>
    <w:r>
      <w:tab/>
    </w:r>
    <w:r>
      <w:tab/>
    </w:r>
    <w:r>
      <w:fldChar w:fldCharType="begin"/>
    </w:r>
    <w:r>
      <w:instrText xml:space="preserve"> PAGE </w:instrText>
    </w:r>
    <w:r>
      <w:fldChar w:fldCharType="separate"/>
    </w:r>
    <w:r w:rsidR="00F20C20">
      <w:rPr>
        <w:noProof/>
      </w:rPr>
      <w:t>2</w:t>
    </w:r>
    <w:r>
      <w:fldChar w:fldCharType="end"/>
    </w:r>
    <w:r>
      <w:t xml:space="preserve"> of </w:t>
    </w:r>
    <w:r w:rsidR="00D830F3">
      <w:fldChar w:fldCharType="begin"/>
    </w:r>
    <w:r w:rsidR="00D830F3">
      <w:instrText xml:space="preserve"> NUMPAGES  </w:instrText>
    </w:r>
    <w:r w:rsidR="00D830F3">
      <w:fldChar w:fldCharType="separate"/>
    </w:r>
    <w:r w:rsidR="00F20C20">
      <w:rPr>
        <w:noProof/>
      </w:rPr>
      <w:t>3</w:t>
    </w:r>
    <w:r w:rsidR="00D830F3">
      <w:rPr>
        <w:noProof/>
      </w:rPr>
      <w:fldChar w:fldCharType="end"/>
    </w:r>
  </w:p>
  <w:p w14:paraId="2BDC88A7" w14:textId="77777777" w:rsidR="00446BEE" w:rsidRDefault="00446BEE">
    <w:pPr>
      <w:pStyle w:val="Footer"/>
    </w:pPr>
  </w:p>
  <w:p w14:paraId="46734523"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BABA" w14:textId="77777777" w:rsidR="00C321A7" w:rsidRDefault="00C321A7" w:rsidP="00446BEE">
      <w:r>
        <w:separator/>
      </w:r>
    </w:p>
  </w:footnote>
  <w:footnote w:type="continuationSeparator" w:id="0">
    <w:p w14:paraId="7B3F9E25" w14:textId="77777777" w:rsidR="00C321A7" w:rsidRDefault="00C321A7"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13694"/>
    <w:multiLevelType w:val="hybridMultilevel"/>
    <w:tmpl w:val="F12A6C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F4362"/>
    <w:multiLevelType w:val="hybridMultilevel"/>
    <w:tmpl w:val="7FF4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A0C21"/>
    <w:multiLevelType w:val="hybridMultilevel"/>
    <w:tmpl w:val="E92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37E5D"/>
    <w:multiLevelType w:val="hybridMultilevel"/>
    <w:tmpl w:val="33B6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B3C30"/>
    <w:multiLevelType w:val="multilevel"/>
    <w:tmpl w:val="7E9C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6467F"/>
    <w:multiLevelType w:val="hybridMultilevel"/>
    <w:tmpl w:val="54C80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D17406"/>
    <w:multiLevelType w:val="hybridMultilevel"/>
    <w:tmpl w:val="DA12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051F4"/>
    <w:multiLevelType w:val="hybridMultilevel"/>
    <w:tmpl w:val="6CD4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5"/>
  </w:num>
  <w:num w:numId="21">
    <w:abstractNumId w:val="17"/>
  </w:num>
  <w:num w:numId="22">
    <w:abstractNumId w:val="10"/>
  </w:num>
  <w:num w:numId="23">
    <w:abstractNumId w:val="12"/>
  </w:num>
  <w:num w:numId="24">
    <w:abstractNumId w:val="19"/>
  </w:num>
  <w:num w:numId="25">
    <w:abstractNumId w:val="16"/>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93"/>
    <w:rsid w:val="000053F8"/>
    <w:rsid w:val="00024D0A"/>
    <w:rsid w:val="00047560"/>
    <w:rsid w:val="00070065"/>
    <w:rsid w:val="000A4FEE"/>
    <w:rsid w:val="000A5823"/>
    <w:rsid w:val="000B3565"/>
    <w:rsid w:val="000B5939"/>
    <w:rsid w:val="001134E7"/>
    <w:rsid w:val="00160FF7"/>
    <w:rsid w:val="00161121"/>
    <w:rsid w:val="0017169E"/>
    <w:rsid w:val="001B0EE9"/>
    <w:rsid w:val="001B65B3"/>
    <w:rsid w:val="001C0876"/>
    <w:rsid w:val="001E54A3"/>
    <w:rsid w:val="002408EA"/>
    <w:rsid w:val="0027081E"/>
    <w:rsid w:val="002819D7"/>
    <w:rsid w:val="002C1A7E"/>
    <w:rsid w:val="002D3376"/>
    <w:rsid w:val="00311ED0"/>
    <w:rsid w:val="0034763B"/>
    <w:rsid w:val="003636DC"/>
    <w:rsid w:val="003648C5"/>
    <w:rsid w:val="003722FA"/>
    <w:rsid w:val="00373CB5"/>
    <w:rsid w:val="00380C7B"/>
    <w:rsid w:val="003C7AAF"/>
    <w:rsid w:val="004075B6"/>
    <w:rsid w:val="00420952"/>
    <w:rsid w:val="004306FE"/>
    <w:rsid w:val="00446BEE"/>
    <w:rsid w:val="00482BC9"/>
    <w:rsid w:val="005025A1"/>
    <w:rsid w:val="00503137"/>
    <w:rsid w:val="00516FC5"/>
    <w:rsid w:val="00520175"/>
    <w:rsid w:val="005301DE"/>
    <w:rsid w:val="00533148"/>
    <w:rsid w:val="00540712"/>
    <w:rsid w:val="00590126"/>
    <w:rsid w:val="0062751F"/>
    <w:rsid w:val="00627D47"/>
    <w:rsid w:val="0067026E"/>
    <w:rsid w:val="006921E1"/>
    <w:rsid w:val="006931ED"/>
    <w:rsid w:val="006E7735"/>
    <w:rsid w:val="00736348"/>
    <w:rsid w:val="007E2CCE"/>
    <w:rsid w:val="007F3721"/>
    <w:rsid w:val="0086087F"/>
    <w:rsid w:val="00861B92"/>
    <w:rsid w:val="008814FB"/>
    <w:rsid w:val="008A3242"/>
    <w:rsid w:val="008F5E30"/>
    <w:rsid w:val="00914D7F"/>
    <w:rsid w:val="00934373"/>
    <w:rsid w:val="009425C5"/>
    <w:rsid w:val="009C4764"/>
    <w:rsid w:val="009E680B"/>
    <w:rsid w:val="00A0512F"/>
    <w:rsid w:val="00A15A1F"/>
    <w:rsid w:val="00A3325A"/>
    <w:rsid w:val="00A43013"/>
    <w:rsid w:val="00A5018C"/>
    <w:rsid w:val="00A72CF2"/>
    <w:rsid w:val="00AF108A"/>
    <w:rsid w:val="00AF7A22"/>
    <w:rsid w:val="00B02E55"/>
    <w:rsid w:val="00B036C1"/>
    <w:rsid w:val="00B5431F"/>
    <w:rsid w:val="00BF74F4"/>
    <w:rsid w:val="00BF7FE0"/>
    <w:rsid w:val="00C145CC"/>
    <w:rsid w:val="00C321A7"/>
    <w:rsid w:val="00C743F7"/>
    <w:rsid w:val="00C96411"/>
    <w:rsid w:val="00CD1B2D"/>
    <w:rsid w:val="00CD79D9"/>
    <w:rsid w:val="00CF58B7"/>
    <w:rsid w:val="00D351C1"/>
    <w:rsid w:val="00D35EFB"/>
    <w:rsid w:val="00D47D39"/>
    <w:rsid w:val="00D504B3"/>
    <w:rsid w:val="00D713F7"/>
    <w:rsid w:val="00D85DA2"/>
    <w:rsid w:val="00D86BF0"/>
    <w:rsid w:val="00DF32B1"/>
    <w:rsid w:val="00E44893"/>
    <w:rsid w:val="00E51920"/>
    <w:rsid w:val="00E63647"/>
    <w:rsid w:val="00E64120"/>
    <w:rsid w:val="00E65779"/>
    <w:rsid w:val="00E660A1"/>
    <w:rsid w:val="00F055F1"/>
    <w:rsid w:val="00F20C20"/>
    <w:rsid w:val="00F610AF"/>
    <w:rsid w:val="00F71267"/>
    <w:rsid w:val="00F729F0"/>
    <w:rsid w:val="00FA2C5A"/>
    <w:rsid w:val="00FB0BE1"/>
    <w:rsid w:val="00FC1524"/>
    <w:rsid w:val="00FC2D11"/>
    <w:rsid w:val="00FC6230"/>
    <w:rsid w:val="00FE3B58"/>
    <w:rsid w:val="00FE44AE"/>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98F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89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Paragraph"/>
    <w:link w:val="Heading1Char"/>
    <w:uiPriority w:val="1"/>
    <w:qFormat/>
    <w:rsid w:val="00861B92"/>
    <w:pPr>
      <w:keepNext/>
      <w:spacing w:before="240" w:after="120" w:line="240" w:lineRule="auto"/>
      <w:outlineLvl w:val="0"/>
    </w:pPr>
    <w:rPr>
      <w:rFonts w:ascii="Arial" w:eastAsia="Times New Roman" w:hAnsi="Arial" w:cs="Times New Roman"/>
      <w:b/>
      <w:bCs/>
      <w:kern w:val="32"/>
      <w:sz w:val="28"/>
      <w:szCs w:val="32"/>
      <w:lang w:eastAsia="en-GB"/>
    </w:rPr>
  </w:style>
  <w:style w:type="paragraph" w:styleId="Heading2">
    <w:name w:val="heading 2"/>
    <w:basedOn w:val="Normal"/>
    <w:next w:val="Paragraph"/>
    <w:link w:val="Heading2Char"/>
    <w:uiPriority w:val="2"/>
    <w:qFormat/>
    <w:rsid w:val="00861B92"/>
    <w:pPr>
      <w:keepNext/>
      <w:spacing w:before="240" w:after="60" w:line="240" w:lineRule="auto"/>
      <w:outlineLvl w:val="1"/>
    </w:pPr>
    <w:rPr>
      <w:rFonts w:ascii="Arial" w:eastAsia="Times New Roman" w:hAnsi="Arial" w:cs="Times New Roman"/>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line="240" w:lineRule="auto"/>
      <w:outlineLvl w:val="2"/>
    </w:pPr>
    <w:rPr>
      <w:rFonts w:ascii="Arial" w:eastAsia="Times New Roman" w:hAnsi="Arial" w:cs="Times New Roman"/>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pPr>
      <w:spacing w:after="0" w:line="240" w:lineRule="auto"/>
    </w:pPr>
    <w:rPr>
      <w:rFonts w:ascii="Arial" w:eastAsia="Times New Roman" w:hAnsi="Arial" w:cs="Times New Roman"/>
      <w:sz w:val="24"/>
      <w:szCs w:val="24"/>
      <w:lang w:eastAsia="en-GB"/>
    </w:rPr>
  </w:style>
  <w:style w:type="paragraph" w:styleId="TOC2">
    <w:name w:val="toc 2"/>
    <w:basedOn w:val="Normal"/>
    <w:next w:val="Normal"/>
    <w:autoRedefine/>
    <w:semiHidden/>
    <w:rsid w:val="00F610AF"/>
    <w:pPr>
      <w:spacing w:after="0" w:line="240" w:lineRule="auto"/>
      <w:ind w:left="240"/>
    </w:pPr>
    <w:rPr>
      <w:rFonts w:ascii="Arial" w:eastAsia="Times New Roman" w:hAnsi="Arial" w:cs="Times New Roman"/>
      <w:sz w:val="24"/>
      <w:szCs w:val="24"/>
      <w:lang w:eastAsia="en-GB"/>
    </w:rPr>
  </w:style>
  <w:style w:type="paragraph" w:styleId="TOC3">
    <w:name w:val="toc 3"/>
    <w:basedOn w:val="Normal"/>
    <w:next w:val="Normal"/>
    <w:autoRedefine/>
    <w:semiHidden/>
    <w:rsid w:val="00F610AF"/>
    <w:pPr>
      <w:spacing w:after="0" w:line="240" w:lineRule="auto"/>
      <w:ind w:left="480"/>
    </w:pPr>
    <w:rPr>
      <w:rFonts w:ascii="Arial" w:eastAsia="Times New Roman" w:hAnsi="Arial" w:cs="Times New Roman"/>
      <w:sz w:val="24"/>
      <w:szCs w:val="24"/>
      <w:lang w:eastAsia="en-GB"/>
    </w:rPr>
  </w:style>
  <w:style w:type="paragraph" w:styleId="TOC4">
    <w:name w:val="toc 4"/>
    <w:basedOn w:val="Normal"/>
    <w:next w:val="Normal"/>
    <w:autoRedefine/>
    <w:semiHidden/>
    <w:rsid w:val="00F610AF"/>
    <w:pPr>
      <w:spacing w:after="0" w:line="240" w:lineRule="auto"/>
      <w:ind w:left="720"/>
    </w:pPr>
    <w:rPr>
      <w:rFonts w:ascii="Arial" w:eastAsia="Times New Roman" w:hAnsi="Arial" w:cs="Times New Roman"/>
      <w:sz w:val="24"/>
      <w:szCs w:val="24"/>
      <w:lang w:eastAsia="en-GB"/>
    </w:rPr>
  </w:style>
  <w:style w:type="paragraph" w:styleId="TOAHeading">
    <w:name w:val="toa heading"/>
    <w:basedOn w:val="Normal"/>
    <w:next w:val="Normal"/>
    <w:semiHidden/>
    <w:rsid w:val="00F610AF"/>
    <w:pPr>
      <w:spacing w:before="120" w:after="0" w:line="240" w:lineRule="auto"/>
    </w:pPr>
    <w:rPr>
      <w:rFonts w:ascii="Arial" w:eastAsia="Times New Roman" w:hAnsi="Arial" w:cs="Times New Roman"/>
      <w:b/>
      <w:bCs/>
      <w:sz w:val="24"/>
      <w:szCs w:val="24"/>
      <w:lang w:eastAsia="en-GB"/>
    </w:rPr>
  </w:style>
  <w:style w:type="table" w:styleId="TableGrid">
    <w:name w:val="Table Grid"/>
    <w:basedOn w:val="TableNormal"/>
    <w:uiPriority w:val="59"/>
    <w:rsid w:val="00E448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F7A22"/>
    <w:rPr>
      <w:sz w:val="16"/>
      <w:szCs w:val="16"/>
    </w:rPr>
  </w:style>
  <w:style w:type="paragraph" w:styleId="CommentText">
    <w:name w:val="annotation text"/>
    <w:basedOn w:val="Normal"/>
    <w:link w:val="CommentTextChar"/>
    <w:semiHidden/>
    <w:rsid w:val="00AF7A22"/>
    <w:pPr>
      <w:spacing w:line="240" w:lineRule="auto"/>
    </w:pPr>
    <w:rPr>
      <w:sz w:val="20"/>
      <w:szCs w:val="20"/>
    </w:rPr>
  </w:style>
  <w:style w:type="character" w:customStyle="1" w:styleId="CommentTextChar">
    <w:name w:val="Comment Text Char"/>
    <w:basedOn w:val="DefaultParagraphFont"/>
    <w:link w:val="CommentText"/>
    <w:semiHidden/>
    <w:rsid w:val="00AF7A2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rsid w:val="00AF7A22"/>
    <w:rPr>
      <w:b/>
      <w:bCs/>
    </w:rPr>
  </w:style>
  <w:style w:type="character" w:customStyle="1" w:styleId="CommentSubjectChar">
    <w:name w:val="Comment Subject Char"/>
    <w:basedOn w:val="CommentTextChar"/>
    <w:link w:val="CommentSubject"/>
    <w:semiHidden/>
    <w:rsid w:val="00AF7A22"/>
    <w:rPr>
      <w:rFonts w:asciiTheme="minorHAnsi" w:eastAsiaTheme="minorHAnsi" w:hAnsiTheme="minorHAnsi" w:cstheme="minorBidi"/>
      <w:b/>
      <w:bCs/>
      <w:lang w:eastAsia="en-US"/>
    </w:rPr>
  </w:style>
  <w:style w:type="paragraph" w:styleId="ListParagraph">
    <w:name w:val="List Paragraph"/>
    <w:basedOn w:val="Normal"/>
    <w:uiPriority w:val="34"/>
    <w:semiHidden/>
    <w:qFormat/>
    <w:rsid w:val="00FE4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5245">
      <w:bodyDiv w:val="1"/>
      <w:marLeft w:val="0"/>
      <w:marRight w:val="0"/>
      <w:marTop w:val="0"/>
      <w:marBottom w:val="0"/>
      <w:divBdr>
        <w:top w:val="none" w:sz="0" w:space="0" w:color="auto"/>
        <w:left w:val="none" w:sz="0" w:space="0" w:color="auto"/>
        <w:bottom w:val="none" w:sz="0" w:space="0" w:color="auto"/>
        <w:right w:val="none" w:sz="0" w:space="0" w:color="auto"/>
      </w:divBdr>
    </w:div>
    <w:div w:id="1197737489">
      <w:bodyDiv w:val="1"/>
      <w:marLeft w:val="0"/>
      <w:marRight w:val="0"/>
      <w:marTop w:val="0"/>
      <w:marBottom w:val="0"/>
      <w:divBdr>
        <w:top w:val="none" w:sz="0" w:space="0" w:color="auto"/>
        <w:left w:val="none" w:sz="0" w:space="0" w:color="auto"/>
        <w:bottom w:val="none" w:sz="0" w:space="0" w:color="auto"/>
        <w:right w:val="none" w:sz="0" w:space="0" w:color="auto"/>
      </w:divBdr>
    </w:div>
    <w:div w:id="15923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2021-10-21T13:41:00Z</dcterms:created>
  <dcterms:modified xsi:type="dcterms:W3CDTF">2021-10-21T13:41:00Z</dcterms:modified>
</cp:coreProperties>
</file>